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Fonts w:ascii="Calibri" w:cs="Calibri" w:eastAsia="Calibri" w:hAnsi="Calibri"/>
          <w:sz w:val="24"/>
          <w:szCs w:val="24"/>
          <w:rtl w:val="0"/>
        </w:rPr>
        <w:t xml:space="preserve">Q&amp;A – 12 May – Embedding and Supporting the personalised care roles </w:t>
      </w:r>
      <w:r w:rsidDel="00000000" w:rsidR="00000000" w:rsidRPr="00000000">
        <w:rPr>
          <w:rtl w:val="0"/>
        </w:rPr>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43"/>
        <w:gridCol w:w="5217"/>
        <w:tblGridChange w:id="0">
          <w:tblGrid>
            <w:gridCol w:w="4143"/>
            <w:gridCol w:w="5217"/>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left w:w="108.0" w:type="dxa"/>
              <w:right w:w="108.0" w:type="dxa"/>
            </w:tcMar>
          </w:tcPr>
          <w:p w:rsidR="00000000" w:rsidDel="00000000" w:rsidP="00000000" w:rsidRDefault="00000000" w:rsidRPr="00000000" w14:paraId="00000002">
            <w:pPr>
              <w:rPr/>
            </w:pPr>
            <w:r w:rsidDel="00000000" w:rsidR="00000000" w:rsidRPr="00000000">
              <w:rPr>
                <w:rFonts w:ascii="Calibri" w:cs="Calibri" w:eastAsia="Calibri" w:hAnsi="Calibri"/>
                <w:sz w:val="24"/>
                <w:szCs w:val="24"/>
                <w:rtl w:val="0"/>
              </w:rPr>
              <w:t xml:space="preserve">Question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8.0" w:type="dxa"/>
              <w:right w:w="108.0" w:type="dxa"/>
            </w:tcMar>
          </w:tcPr>
          <w:p w:rsidR="00000000" w:rsidDel="00000000" w:rsidP="00000000" w:rsidRDefault="00000000" w:rsidRPr="00000000" w14:paraId="00000003">
            <w:pPr>
              <w:rPr/>
            </w:pPr>
            <w:r w:rsidDel="00000000" w:rsidR="00000000" w:rsidRPr="00000000">
              <w:rPr>
                <w:rFonts w:ascii="Calibri" w:cs="Calibri" w:eastAsia="Calibri" w:hAnsi="Calibri"/>
                <w:sz w:val="24"/>
                <w:szCs w:val="24"/>
                <w:rtl w:val="0"/>
              </w:rPr>
              <w:t xml:space="preserve">Answer</w:t>
            </w: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left w:w="108.0" w:type="dxa"/>
              <w:right w:w="108.0" w:type="dxa"/>
            </w:tcMar>
          </w:tcPr>
          <w:p w:rsidR="00000000" w:rsidDel="00000000" w:rsidP="00000000" w:rsidRDefault="00000000" w:rsidRPr="00000000" w14:paraId="00000004">
            <w:pPr>
              <w:rPr/>
            </w:pPr>
            <w:r w:rsidDel="00000000" w:rsidR="00000000" w:rsidRPr="00000000">
              <w:rPr>
                <w:rFonts w:ascii="Calibri" w:cs="Calibri" w:eastAsia="Calibri" w:hAnsi="Calibri"/>
                <w:sz w:val="24"/>
                <w:szCs w:val="24"/>
                <w:rtl w:val="0"/>
              </w:rPr>
              <w:t xml:space="preserve">What funding is available for training, supervision and supporting the ARRS roles?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8.0" w:type="dxa"/>
              <w:right w:w="108.0" w:type="dxa"/>
            </w:tcMar>
          </w:tcPr>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Funding is made available through System Development Funding to the ICB for training primary care staff including the PCN multidisciplinary team;  the ICB will usually work with the lead and locality training hubs to identify training priorities aligned to service delivery priorities.</w:t>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PCNs are expected to provide supervision and support for the additional roles through their wider income streams.  It is possible that some of the supervision is provided by more senior members of the MDT and therefore reimbursed through ARRS itself; for example a senior clinical pharmacist (band 8a) might be required to spend some of their time supervising the work of band 7 clinical pharmacists.</w:t>
            </w:r>
          </w:p>
          <w:p w:rsidR="00000000" w:rsidDel="00000000" w:rsidP="00000000" w:rsidRDefault="00000000" w:rsidRPr="00000000" w14:paraId="00000008">
            <w:pPr>
              <w:rPr/>
            </w:pP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left w:w="108.0" w:type="dxa"/>
              <w:right w:w="108.0" w:type="dxa"/>
            </w:tcMar>
          </w:tcPr>
          <w:p w:rsidR="00000000" w:rsidDel="00000000" w:rsidP="00000000" w:rsidRDefault="00000000" w:rsidRPr="00000000" w14:paraId="00000009">
            <w:pPr>
              <w:rPr/>
            </w:pPr>
            <w:r w:rsidDel="00000000" w:rsidR="00000000" w:rsidRPr="00000000">
              <w:rPr>
                <w:rFonts w:ascii="Calibri" w:cs="Calibri" w:eastAsia="Calibri" w:hAnsi="Calibri"/>
                <w:sz w:val="24"/>
                <w:szCs w:val="24"/>
                <w:rtl w:val="0"/>
              </w:rPr>
              <w:t xml:space="preserve">Is the funding just for the salary of the ARRS employee, or is there funding available for other costs e.g. supervision, back office costs. This is esp relevant when working with a third part provider so interested to know?</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8.0" w:type="dxa"/>
              <w:right w:w="108.0" w:type="dxa"/>
            </w:tcMar>
          </w:tcPr>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 PCN is able to claim 100% reimbursement for ARRS roles up to the maximum reimbursable amount including employer on-costs for NI and pensions.  (see Tables 2 and 3 in section 10 of the </w:t>
            </w:r>
            <w:hyperlink r:id="rId6">
              <w:r w:rsidDel="00000000" w:rsidR="00000000" w:rsidRPr="00000000">
                <w:rPr>
                  <w:rFonts w:ascii="Calibri" w:cs="Calibri" w:eastAsia="Calibri" w:hAnsi="Calibri"/>
                  <w:color w:val="0563c1"/>
                  <w:sz w:val="24"/>
                  <w:szCs w:val="24"/>
                  <w:u w:val="single"/>
                  <w:rtl w:val="0"/>
                </w:rPr>
                <w:t xml:space="preserve">DES contract specification</w:t>
              </w:r>
            </w:hyperlink>
            <w:r w:rsidDel="00000000" w:rsidR="00000000" w:rsidRPr="00000000">
              <w:rPr>
                <w:rFonts w:ascii="Calibri" w:cs="Calibri" w:eastAsia="Calibri" w:hAnsi="Calibri"/>
                <w:color w:val="0563c1"/>
                <w:sz w:val="24"/>
                <w:szCs w:val="24"/>
                <w:u w:val="single"/>
                <w:rtl w:val="0"/>
              </w:rPr>
              <w:t xml:space="preserve">)</w:t>
            </w: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 the PCN sub-contracts a social prescribing service from another provider then they may be able to claim up to £200 per month per WTE subject to the same maximum reimbursable limit for directly employed social prescribers (see para 10.5.9 of the </w:t>
            </w:r>
            <w:hyperlink r:id="rId7">
              <w:r w:rsidDel="00000000" w:rsidR="00000000" w:rsidRPr="00000000">
                <w:rPr>
                  <w:rFonts w:ascii="Calibri" w:cs="Calibri" w:eastAsia="Calibri" w:hAnsi="Calibri"/>
                  <w:color w:val="0563c1"/>
                  <w:sz w:val="24"/>
                  <w:szCs w:val="24"/>
                  <w:u w:val="single"/>
                  <w:rtl w:val="0"/>
                </w:rPr>
                <w:t xml:space="preserve">DES contract specification</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D">
            <w:pPr>
              <w:spacing w:line="259" w:lineRule="auto"/>
              <w:rPr>
                <w:rFonts w:ascii="Calibri" w:cs="Calibri" w:eastAsia="Calibri" w:hAnsi="Calibri"/>
                <w:sz w:val="24"/>
                <w:szCs w:val="24"/>
              </w:rPr>
            </w:pP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left w:w="108.0" w:type="dxa"/>
              <w:right w:w="108.0" w:type="dxa"/>
            </w:tcMar>
          </w:tcPr>
          <w:p w:rsidR="00000000" w:rsidDel="00000000" w:rsidP="00000000" w:rsidRDefault="00000000" w:rsidRPr="00000000" w14:paraId="0000000E">
            <w:pPr>
              <w:rPr/>
            </w:pPr>
            <w:r w:rsidDel="00000000" w:rsidR="00000000" w:rsidRPr="00000000">
              <w:rPr>
                <w:rFonts w:ascii="Calibri" w:cs="Calibri" w:eastAsia="Calibri" w:hAnsi="Calibri"/>
                <w:sz w:val="24"/>
                <w:szCs w:val="24"/>
                <w:rtl w:val="0"/>
              </w:rPr>
              <w:t xml:space="preserve">Has there been an underspend on the allocated ARRS funding?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8.0" w:type="dxa"/>
              <w:right w:w="108.0" w:type="dxa"/>
            </w:tcMar>
          </w:tcPr>
          <w:p w:rsidR="00000000" w:rsidDel="00000000" w:rsidP="00000000" w:rsidRDefault="00000000" w:rsidRPr="00000000" w14:paraId="0000000F">
            <w:pPr>
              <w:rPr/>
            </w:pPr>
            <w:r w:rsidDel="00000000" w:rsidR="00000000" w:rsidRPr="00000000">
              <w:rPr>
                <w:rFonts w:ascii="Calibri" w:cs="Calibri" w:eastAsia="Calibri" w:hAnsi="Calibri"/>
                <w:sz w:val="24"/>
                <w:szCs w:val="24"/>
                <w:rtl w:val="0"/>
              </w:rPr>
              <w:t xml:space="preserve">PCNs are eligible for a total maximum allocation based upon their weighted population; for example a PCN with 50,000 patients could claim up to £1.1m if they recruit fully.  In practice the PCN (and the ICB on its behalf) can only draw down as much as they spend and any shortfall remains with the national team.</w:t>
            </w: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left w:w="108.0" w:type="dxa"/>
              <w:right w:w="108.0" w:type="dxa"/>
            </w:tcMar>
          </w:tcPr>
          <w:p w:rsidR="00000000" w:rsidDel="00000000" w:rsidP="00000000" w:rsidRDefault="00000000" w:rsidRPr="00000000" w14:paraId="00000010">
            <w:pPr>
              <w:rPr/>
            </w:pPr>
            <w:r w:rsidDel="00000000" w:rsidR="00000000" w:rsidRPr="00000000">
              <w:rPr>
                <w:rFonts w:ascii="Calibri" w:cs="Calibri" w:eastAsia="Calibri" w:hAnsi="Calibri"/>
                <w:sz w:val="24"/>
                <w:szCs w:val="24"/>
                <w:rtl w:val="0"/>
              </w:rPr>
              <w:t xml:space="preserve">Will ARRS in the future become eligible for NHS pension, immediately increasing costs by 14.3%?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8.0" w:type="dxa"/>
              <w:right w:w="108.0" w:type="dxa"/>
            </w:tcMar>
          </w:tcPr>
          <w:p w:rsidR="00000000" w:rsidDel="00000000" w:rsidP="00000000" w:rsidRDefault="00000000" w:rsidRPr="00000000" w14:paraId="00000011">
            <w:pPr>
              <w:rPr/>
            </w:pPr>
            <w:r w:rsidDel="00000000" w:rsidR="00000000" w:rsidRPr="00000000">
              <w:rPr>
                <w:rFonts w:ascii="Calibri" w:cs="Calibri" w:eastAsia="Calibri" w:hAnsi="Calibri"/>
                <w:sz w:val="24"/>
                <w:szCs w:val="24"/>
                <w:rtl w:val="0"/>
              </w:rPr>
              <w:t xml:space="preserve">The short answer to this question is that depends on who is employing the ARRS employee and whether they are an employing authority and/or holds an APMS contract.  Further guidance and scenarios can be found </w:t>
            </w:r>
            <w:hyperlink r:id="rId8">
              <w:r w:rsidDel="00000000" w:rsidR="00000000" w:rsidRPr="00000000">
                <w:rPr>
                  <w:rFonts w:ascii="Calibri" w:cs="Calibri" w:eastAsia="Calibri" w:hAnsi="Calibri"/>
                  <w:color w:val="0563c1"/>
                  <w:sz w:val="24"/>
                  <w:szCs w:val="24"/>
                  <w:u w:val="single"/>
                  <w:rtl w:val="0"/>
                </w:rPr>
                <w:t xml:space="preserve">here</w:t>
              </w:r>
            </w:hyperlink>
            <w:r w:rsidDel="00000000" w:rsidR="00000000" w:rsidRPr="00000000">
              <w:rPr>
                <w:rFonts w:ascii="Calibri" w:cs="Calibri" w:eastAsia="Calibri" w:hAnsi="Calibri"/>
                <w:sz w:val="24"/>
                <w:szCs w:val="24"/>
                <w:rtl w:val="0"/>
              </w:rPr>
              <w:t xml:space="preserve">.</w:t>
            </w: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left w:w="108.0" w:type="dxa"/>
              <w:right w:w="108.0" w:type="dxa"/>
            </w:tcMar>
          </w:tcPr>
          <w:p w:rsidR="00000000" w:rsidDel="00000000" w:rsidP="00000000" w:rsidRDefault="00000000" w:rsidRPr="00000000" w14:paraId="00000012">
            <w:pPr>
              <w:rPr/>
            </w:pPr>
            <w:r w:rsidDel="00000000" w:rsidR="00000000" w:rsidRPr="00000000">
              <w:rPr>
                <w:rFonts w:ascii="Calibri" w:cs="Calibri" w:eastAsia="Calibri" w:hAnsi="Calibri"/>
                <w:sz w:val="24"/>
                <w:szCs w:val="24"/>
                <w:rtl w:val="0"/>
              </w:rPr>
              <w:t xml:space="preserve">Are all PCNs using some sort of platform for Social Prescribers for referrals and management of referrals, such as Elemental or 'Joy' - how are costs for this met?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8.0" w:type="dxa"/>
              <w:right w:w="108.0" w:type="dxa"/>
            </w:tcMar>
          </w:tcPr>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 all are using this, however some ICS have taken an ICS wide approach to this. For example, NWL are procuring Joy across the whole ICS. Whereas NEL and SWL have started procuring Joy across a few boroughs.</w:t>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costs are likely come from Digital budgets.</w:t>
            </w:r>
          </w:p>
          <w:p w:rsidR="00000000" w:rsidDel="00000000" w:rsidP="00000000" w:rsidRDefault="00000000" w:rsidRPr="00000000" w14:paraId="00000015">
            <w:pPr>
              <w:rPr/>
            </w:pPr>
            <w:r w:rsidDel="00000000" w:rsidR="00000000" w:rsidRPr="00000000">
              <w:rPr>
                <w:rFonts w:ascii="Calibri" w:cs="Calibri" w:eastAsia="Calibri" w:hAnsi="Calibri"/>
                <w:sz w:val="24"/>
                <w:szCs w:val="24"/>
                <w:rtl w:val="0"/>
              </w:rPr>
              <w:t xml:space="preserve">The National team, are currently working on the MDS, where EMIS and SystemOne will also be able to collect a minimum amount of data around referrals to SP.  </w:t>
            </w: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left w:w="108.0" w:type="dxa"/>
              <w:right w:w="108.0" w:type="dxa"/>
            </w:tcMar>
          </w:tcPr>
          <w:p w:rsidR="00000000" w:rsidDel="00000000" w:rsidP="00000000" w:rsidRDefault="00000000" w:rsidRPr="00000000" w14:paraId="00000016">
            <w:pPr>
              <w:rPr/>
            </w:pPr>
            <w:r w:rsidDel="00000000" w:rsidR="00000000" w:rsidRPr="00000000">
              <w:rPr>
                <w:rFonts w:ascii="Calibri" w:cs="Calibri" w:eastAsia="Calibri" w:hAnsi="Calibri"/>
                <w:sz w:val="24"/>
                <w:szCs w:val="24"/>
                <w:rtl w:val="0"/>
              </w:rPr>
              <w:t xml:space="preserve">Useful to have a direct email we can contact if we have any issues re ARRS roles- who is best to contact?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8.0" w:type="dxa"/>
              <w:right w:w="108.0" w:type="dxa"/>
            </w:tcMar>
          </w:tcPr>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Suggest you share the ICB workforce lead and training hub leads in the first instance – see below</w:t>
            </w:r>
          </w:p>
        </w:tc>
      </w:tr>
    </w:tbl>
    <w:p w:rsidR="00000000" w:rsidDel="00000000" w:rsidP="00000000" w:rsidRDefault="00000000" w:rsidRPr="00000000" w14:paraId="00000018">
      <w:pPr>
        <w:rPr/>
      </w:pPr>
      <w:r w:rsidDel="00000000" w:rsidR="00000000" w:rsidRPr="00000000">
        <w:rPr>
          <w:rtl w:val="0"/>
        </w:rPr>
      </w:r>
    </w:p>
    <w:tbl>
      <w:tblPr>
        <w:tblStyle w:val="Table2"/>
        <w:tblW w:w="6765.999999999999"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7"/>
        <w:gridCol w:w="3360"/>
        <w:gridCol w:w="2759"/>
        <w:tblGridChange w:id="0">
          <w:tblGrid>
            <w:gridCol w:w="647"/>
            <w:gridCol w:w="3360"/>
            <w:gridCol w:w="2759"/>
          </w:tblGrid>
        </w:tblGridChange>
      </w:tblGrid>
      <w:tr>
        <w:trPr>
          <w:cantSplit w:val="0"/>
          <w:tblHeader w:val="0"/>
        </w:trPr>
        <w:tc>
          <w:tcPr/>
          <w:p w:rsidR="00000000" w:rsidDel="00000000" w:rsidP="00000000" w:rsidRDefault="00000000" w:rsidRPr="00000000" w14:paraId="00000019">
            <w:pPr>
              <w:rPr/>
            </w:pPr>
            <w:r w:rsidDel="00000000" w:rsidR="00000000" w:rsidRPr="00000000">
              <w:rPr>
                <w:rtl w:val="0"/>
              </w:rPr>
              <w:t xml:space="preserve">ICB</w:t>
            </w:r>
          </w:p>
        </w:tc>
        <w:tc>
          <w:tcPr/>
          <w:p w:rsidR="00000000" w:rsidDel="00000000" w:rsidP="00000000" w:rsidRDefault="00000000" w:rsidRPr="00000000" w14:paraId="0000001A">
            <w:pPr>
              <w:rPr/>
            </w:pPr>
            <w:r w:rsidDel="00000000" w:rsidR="00000000" w:rsidRPr="00000000">
              <w:rPr>
                <w:rtl w:val="0"/>
              </w:rPr>
              <w:t xml:space="preserve">Workforce Lead</w:t>
            </w:r>
          </w:p>
        </w:tc>
        <w:tc>
          <w:tcPr/>
          <w:p w:rsidR="00000000" w:rsidDel="00000000" w:rsidP="00000000" w:rsidRDefault="00000000" w:rsidRPr="00000000" w14:paraId="0000001B">
            <w:pPr>
              <w:rPr/>
            </w:pPr>
            <w:r w:rsidDel="00000000" w:rsidR="00000000" w:rsidRPr="00000000">
              <w:rPr>
                <w:rtl w:val="0"/>
              </w:rPr>
              <w:t xml:space="preserve">Training Hub</w:t>
            </w:r>
          </w:p>
        </w:tc>
      </w:tr>
      <w:tr>
        <w:trPr>
          <w:cantSplit w:val="0"/>
          <w:tblHeader w:val="0"/>
        </w:trPr>
        <w:tc>
          <w:tcPr/>
          <w:p w:rsidR="00000000" w:rsidDel="00000000" w:rsidP="00000000" w:rsidRDefault="00000000" w:rsidRPr="00000000" w14:paraId="0000001C">
            <w:pPr>
              <w:rPr/>
            </w:pPr>
            <w:r w:rsidDel="00000000" w:rsidR="00000000" w:rsidRPr="00000000">
              <w:rPr>
                <w:rtl w:val="0"/>
              </w:rPr>
              <w:t xml:space="preserve">NWL</w:t>
            </w:r>
          </w:p>
        </w:tc>
        <w:tc>
          <w:tcPr/>
          <w:p w:rsidR="00000000" w:rsidDel="00000000" w:rsidP="00000000" w:rsidRDefault="00000000" w:rsidRPr="00000000" w14:paraId="0000001D">
            <w:pPr>
              <w:tabs>
                <w:tab w:val="right" w:leader="none" w:pos="2413"/>
              </w:tabs>
              <w:rPr/>
            </w:pPr>
            <w:r w:rsidDel="00000000" w:rsidR="00000000" w:rsidRPr="00000000">
              <w:rPr>
                <w:rtl w:val="0"/>
              </w:rPr>
              <w:t xml:space="preserve">Maggie Neale</w:t>
            </w:r>
          </w:p>
          <w:p w:rsidR="00000000" w:rsidDel="00000000" w:rsidP="00000000" w:rsidRDefault="00000000" w:rsidRPr="00000000" w14:paraId="0000001E">
            <w:pPr>
              <w:tabs>
                <w:tab w:val="right" w:leader="none" w:pos="2413"/>
              </w:tabs>
              <w:rPr/>
            </w:pPr>
            <w:r w:rsidDel="00000000" w:rsidR="00000000" w:rsidRPr="00000000">
              <w:rPr>
                <w:rtl w:val="0"/>
              </w:rPr>
              <w:t xml:space="preserve">Maggie.neale@nhs.net</w:t>
              <w:tab/>
            </w:r>
          </w:p>
        </w:tc>
        <w:tc>
          <w:tcPr/>
          <w:p w:rsidR="00000000" w:rsidDel="00000000" w:rsidP="00000000" w:rsidRDefault="00000000" w:rsidRPr="00000000" w14:paraId="0000001F">
            <w:pPr>
              <w:rPr/>
            </w:pPr>
            <w:r w:rsidDel="00000000" w:rsidR="00000000" w:rsidRPr="00000000">
              <w:rPr>
                <w:rtl w:val="0"/>
              </w:rPr>
              <w:t xml:space="preserve">Caroline Durack </w:t>
            </w:r>
            <w:hyperlink r:id="rId9">
              <w:r w:rsidDel="00000000" w:rsidR="00000000" w:rsidRPr="00000000">
                <w:rPr>
                  <w:color w:val="0563c1"/>
                  <w:u w:val="single"/>
                  <w:rtl w:val="0"/>
                </w:rPr>
                <w:t xml:space="preserve">carolinedurack@nhs.net</w:t>
              </w:r>
            </w:hyperlink>
            <w:r w:rsidDel="00000000" w:rsidR="00000000" w:rsidRPr="00000000">
              <w:rPr>
                <w:rtl w:val="0"/>
              </w:rPr>
            </w:r>
          </w:p>
        </w:tc>
      </w:tr>
      <w:tr>
        <w:trPr>
          <w:cantSplit w:val="0"/>
          <w:tblHeader w:val="0"/>
        </w:trPr>
        <w:tc>
          <w:tcPr/>
          <w:p w:rsidR="00000000" w:rsidDel="00000000" w:rsidP="00000000" w:rsidRDefault="00000000" w:rsidRPr="00000000" w14:paraId="00000020">
            <w:pPr>
              <w:rPr/>
            </w:pPr>
            <w:r w:rsidDel="00000000" w:rsidR="00000000" w:rsidRPr="00000000">
              <w:rPr>
                <w:rtl w:val="0"/>
              </w:rPr>
              <w:t xml:space="preserve">NCL</w:t>
            </w:r>
          </w:p>
        </w:tc>
        <w:tc>
          <w:tcPr/>
          <w:p w:rsidR="00000000" w:rsidDel="00000000" w:rsidP="00000000" w:rsidRDefault="00000000" w:rsidRPr="00000000" w14:paraId="00000021">
            <w:pPr>
              <w:rPr/>
            </w:pPr>
            <w:r w:rsidDel="00000000" w:rsidR="00000000" w:rsidRPr="00000000">
              <w:rPr>
                <w:rtl w:val="0"/>
              </w:rPr>
              <w:t xml:space="preserve">Marta Nowacka</w:t>
            </w:r>
          </w:p>
          <w:p w:rsidR="00000000" w:rsidDel="00000000" w:rsidP="00000000" w:rsidRDefault="00000000" w:rsidRPr="00000000" w14:paraId="00000022">
            <w:pPr>
              <w:rPr/>
            </w:pPr>
            <w:hyperlink r:id="rId10">
              <w:r w:rsidDel="00000000" w:rsidR="00000000" w:rsidRPr="00000000">
                <w:rPr>
                  <w:color w:val="0563c1"/>
                  <w:u w:val="single"/>
                  <w:rtl w:val="0"/>
                </w:rPr>
                <w:t xml:space="preserve">Marta.nowacka@nhs.net</w:t>
              </w:r>
            </w:hyperlink>
            <w:r w:rsidDel="00000000" w:rsidR="00000000" w:rsidRPr="00000000">
              <w:rPr>
                <w:rtl w:val="0"/>
              </w:rPr>
            </w:r>
          </w:p>
        </w:tc>
        <w:tc>
          <w:tcPr/>
          <w:p w:rsidR="00000000" w:rsidDel="00000000" w:rsidP="00000000" w:rsidRDefault="00000000" w:rsidRPr="00000000" w14:paraId="00000023">
            <w:pPr>
              <w:rPr/>
            </w:pPr>
            <w:r w:rsidDel="00000000" w:rsidR="00000000" w:rsidRPr="00000000">
              <w:rPr>
                <w:rtl w:val="0"/>
              </w:rPr>
              <w:t xml:space="preserve">Michael Fox</w:t>
            </w:r>
          </w:p>
          <w:p w:rsidR="00000000" w:rsidDel="00000000" w:rsidP="00000000" w:rsidRDefault="00000000" w:rsidRPr="00000000" w14:paraId="00000024">
            <w:pPr>
              <w:rPr/>
            </w:pPr>
            <w:r w:rsidDel="00000000" w:rsidR="00000000" w:rsidRPr="00000000">
              <w:rPr>
                <w:rtl w:val="0"/>
              </w:rPr>
              <w:t xml:space="preserve">Michael Fox mfox@nhs.net</w:t>
            </w:r>
          </w:p>
        </w:tc>
      </w:tr>
      <w:tr>
        <w:trPr>
          <w:cantSplit w:val="0"/>
          <w:tblHeader w:val="0"/>
        </w:trPr>
        <w:tc>
          <w:tcPr/>
          <w:p w:rsidR="00000000" w:rsidDel="00000000" w:rsidP="00000000" w:rsidRDefault="00000000" w:rsidRPr="00000000" w14:paraId="00000025">
            <w:pPr>
              <w:rPr/>
            </w:pPr>
            <w:r w:rsidDel="00000000" w:rsidR="00000000" w:rsidRPr="00000000">
              <w:rPr>
                <w:rtl w:val="0"/>
              </w:rPr>
              <w:t xml:space="preserve">NEL</w:t>
            </w:r>
          </w:p>
        </w:tc>
        <w:tc>
          <w:tcPr/>
          <w:p w:rsidR="00000000" w:rsidDel="00000000" w:rsidP="00000000" w:rsidRDefault="00000000" w:rsidRPr="00000000" w14:paraId="00000026">
            <w:pPr>
              <w:rPr/>
            </w:pPr>
            <w:r w:rsidDel="00000000" w:rsidR="00000000" w:rsidRPr="00000000">
              <w:rPr>
                <w:rtl w:val="0"/>
              </w:rPr>
              <w:t xml:space="preserve">Zehra Safdar</w:t>
            </w:r>
          </w:p>
          <w:p w:rsidR="00000000" w:rsidDel="00000000" w:rsidP="00000000" w:rsidRDefault="00000000" w:rsidRPr="00000000" w14:paraId="00000027">
            <w:pPr>
              <w:rPr/>
            </w:pPr>
            <w:r w:rsidDel="00000000" w:rsidR="00000000" w:rsidRPr="00000000">
              <w:rPr>
                <w:rtl w:val="0"/>
              </w:rPr>
              <w:t xml:space="preserve">Zehra.safdar@nhs.net</w:t>
            </w:r>
          </w:p>
        </w:tc>
        <w:tc>
          <w:tcPr/>
          <w:p w:rsidR="00000000" w:rsidDel="00000000" w:rsidP="00000000" w:rsidRDefault="00000000" w:rsidRPr="00000000" w14:paraId="00000028">
            <w:pPr>
              <w:rPr/>
            </w:pPr>
            <w:r w:rsidDel="00000000" w:rsidR="00000000" w:rsidRPr="00000000">
              <w:rPr>
                <w:rtl w:val="0"/>
              </w:rPr>
              <w:t xml:space="preserve">Asad Khan asad.khan35@nhs.net</w:t>
            </w:r>
          </w:p>
        </w:tc>
      </w:tr>
      <w:tr>
        <w:trPr>
          <w:cantSplit w:val="0"/>
          <w:tblHeader w:val="0"/>
        </w:trPr>
        <w:tc>
          <w:tcPr/>
          <w:p w:rsidR="00000000" w:rsidDel="00000000" w:rsidP="00000000" w:rsidRDefault="00000000" w:rsidRPr="00000000" w14:paraId="00000029">
            <w:pPr>
              <w:rPr/>
            </w:pPr>
            <w:r w:rsidDel="00000000" w:rsidR="00000000" w:rsidRPr="00000000">
              <w:rPr>
                <w:rtl w:val="0"/>
              </w:rPr>
              <w:t xml:space="preserve">SEL</w:t>
            </w:r>
          </w:p>
        </w:tc>
        <w:tc>
          <w:tcPr/>
          <w:p w:rsidR="00000000" w:rsidDel="00000000" w:rsidP="00000000" w:rsidRDefault="00000000" w:rsidRPr="00000000" w14:paraId="0000002A">
            <w:pPr>
              <w:rPr/>
            </w:pPr>
            <w:r w:rsidDel="00000000" w:rsidR="00000000" w:rsidRPr="00000000">
              <w:rPr>
                <w:rtl w:val="0"/>
              </w:rPr>
              <w:t xml:space="preserve">Chloe Hardman chloe.hardman@nhs.net</w:t>
            </w:r>
          </w:p>
        </w:tc>
        <w:tc>
          <w:tcPr/>
          <w:p w:rsidR="00000000" w:rsidDel="00000000" w:rsidP="00000000" w:rsidRDefault="00000000" w:rsidRPr="00000000" w14:paraId="0000002B">
            <w:pPr>
              <w:rPr/>
            </w:pPr>
            <w:r w:rsidDel="00000000" w:rsidR="00000000" w:rsidRPr="00000000">
              <w:rPr>
                <w:rtl w:val="0"/>
              </w:rPr>
              <w:t xml:space="preserve">Matthew Shimwell </w:t>
            </w:r>
          </w:p>
          <w:p w:rsidR="00000000" w:rsidDel="00000000" w:rsidP="00000000" w:rsidRDefault="00000000" w:rsidRPr="00000000" w14:paraId="0000002C">
            <w:pPr>
              <w:rPr/>
            </w:pPr>
            <w:r w:rsidDel="00000000" w:rsidR="00000000" w:rsidRPr="00000000">
              <w:rPr>
                <w:rtl w:val="0"/>
              </w:rPr>
              <w:t xml:space="preserve">Matthew.shimwell@nhs.net</w:t>
            </w:r>
          </w:p>
        </w:tc>
      </w:tr>
      <w:tr>
        <w:trPr>
          <w:cantSplit w:val="0"/>
          <w:tblHeader w:val="0"/>
        </w:trPr>
        <w:tc>
          <w:tcPr/>
          <w:p w:rsidR="00000000" w:rsidDel="00000000" w:rsidP="00000000" w:rsidRDefault="00000000" w:rsidRPr="00000000" w14:paraId="0000002D">
            <w:pPr>
              <w:rPr/>
            </w:pPr>
            <w:r w:rsidDel="00000000" w:rsidR="00000000" w:rsidRPr="00000000">
              <w:rPr>
                <w:rtl w:val="0"/>
              </w:rPr>
              <w:t xml:space="preserve">SWL</w:t>
            </w:r>
          </w:p>
        </w:tc>
        <w:tc>
          <w:tcPr/>
          <w:p w:rsidR="00000000" w:rsidDel="00000000" w:rsidP="00000000" w:rsidRDefault="00000000" w:rsidRPr="00000000" w14:paraId="0000002E">
            <w:pPr>
              <w:rPr/>
            </w:pPr>
            <w:r w:rsidDel="00000000" w:rsidR="00000000" w:rsidRPr="00000000">
              <w:rPr>
                <w:rtl w:val="0"/>
              </w:rPr>
              <w:t xml:space="preserve">Lorraine Winter</w:t>
            </w:r>
          </w:p>
          <w:p w:rsidR="00000000" w:rsidDel="00000000" w:rsidP="00000000" w:rsidRDefault="00000000" w:rsidRPr="00000000" w14:paraId="0000002F">
            <w:pPr>
              <w:rPr/>
            </w:pPr>
            <w:r w:rsidDel="00000000" w:rsidR="00000000" w:rsidRPr="00000000">
              <w:rPr>
                <w:rtl w:val="0"/>
              </w:rPr>
              <w:t xml:space="preserve">Lorraine.wynter@swlondon.nhs.uk</w:t>
            </w:r>
          </w:p>
        </w:tc>
        <w:tc>
          <w:tcPr/>
          <w:p w:rsidR="00000000" w:rsidDel="00000000" w:rsidP="00000000" w:rsidRDefault="00000000" w:rsidRPr="00000000" w14:paraId="00000030">
            <w:pPr>
              <w:rPr/>
            </w:pPr>
            <w:r w:rsidDel="00000000" w:rsidR="00000000" w:rsidRPr="00000000">
              <w:rPr>
                <w:rtl w:val="0"/>
              </w:rPr>
              <w:t xml:space="preserve">Laura Jackson laura.jackson@nhs.net</w:t>
            </w:r>
          </w:p>
        </w:tc>
      </w:tr>
    </w:tbl>
    <w:p w:rsidR="00000000" w:rsidDel="00000000" w:rsidP="00000000" w:rsidRDefault="00000000" w:rsidRPr="00000000" w14:paraId="0000003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Marta.nowacka@nhs.net" TargetMode="External"/><Relationship Id="rId9" Type="http://schemas.openxmlformats.org/officeDocument/2006/relationships/hyperlink" Target="mailto:carolinedurack@nhs.net" TargetMode="External"/><Relationship Id="rId5" Type="http://schemas.openxmlformats.org/officeDocument/2006/relationships/styles" Target="styles.xml"/><Relationship Id="rId6" Type="http://schemas.openxmlformats.org/officeDocument/2006/relationships/hyperlink" Target="https://www.england.nhs.uk/wp-content/uploads/2023/03/PRN00157-ncdes-updated-contract-specification-23-24-pcn-requirements-and-entitlements.pdf" TargetMode="External"/><Relationship Id="rId7" Type="http://schemas.openxmlformats.org/officeDocument/2006/relationships/hyperlink" Target="https://www.england.nhs.uk/wp-content/uploads/2023/03/PRN00157-ncdes-updated-contract-specification-23-24-pcn-requirements-and-entitlements.pdf" TargetMode="External"/><Relationship Id="rId8" Type="http://schemas.openxmlformats.org/officeDocument/2006/relationships/hyperlink" Target="https://www.nhsbsa.nhs.uk/sites/default/files/2020-12/Primary_Care_Networks_and_NHS_Pension_Scheme_Access_20201216_%28V3%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