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938D8" w14:textId="4B5038DD" w:rsidR="00C85477" w:rsidRDefault="00006F3E" w:rsidP="00006F3E">
      <w:pPr>
        <w:jc w:val="center"/>
        <w:rPr>
          <w:u w:val="single"/>
        </w:rPr>
      </w:pPr>
      <w:r w:rsidRPr="00DD1E7E">
        <w:rPr>
          <w:u w:val="single"/>
        </w:rPr>
        <w:t xml:space="preserve">Workforce Planning Considerations for ARRS </w:t>
      </w:r>
      <w:r w:rsidR="00DD1E7E" w:rsidRPr="00DD1E7E">
        <w:rPr>
          <w:u w:val="single"/>
        </w:rPr>
        <w:t>Roles.</w:t>
      </w:r>
    </w:p>
    <w:p w14:paraId="5FA24ABA" w14:textId="7019B69B" w:rsidR="00FA64D7" w:rsidRPr="00FA64D7" w:rsidRDefault="00FA64D7" w:rsidP="00FA64D7"/>
    <w:p w14:paraId="257F4DDF" w14:textId="254DB0D3" w:rsidR="00FA64D7" w:rsidRPr="00FA64D7" w:rsidRDefault="00FA64D7" w:rsidP="00FA64D7">
      <w:r w:rsidRPr="00FA64D7">
        <w:t>These questions</w:t>
      </w:r>
      <w:r>
        <w:t xml:space="preserve"> and supplied information are intended to guide PCNs in workforce planning</w:t>
      </w:r>
      <w:r w:rsidR="00E71EBE">
        <w:t xml:space="preserve"> and should be considered in conjunction with the accompanying slide set, providing information relating to each of the individual roles.</w:t>
      </w:r>
      <w:r w:rsidR="0030464C">
        <w:t xml:space="preserve">  There is no single approach that is likely to provide an answer to </w:t>
      </w:r>
      <w:r w:rsidR="00BF2C9F">
        <w:t>increasing capacity across primary care</w:t>
      </w:r>
      <w:r w:rsidR="00020A65">
        <w:t xml:space="preserve">; however it is becoming increasingly clear that PCNs need to work more closely with acute providers in their </w:t>
      </w:r>
      <w:r w:rsidR="0069655A">
        <w:t>ICS/STP, and potentially across the region, in order to come up with sustainable workforce solutions</w:t>
      </w:r>
      <w:r w:rsidR="00235086">
        <w:t xml:space="preserve"> in a climate of growing demand.</w:t>
      </w:r>
    </w:p>
    <w:p w14:paraId="4DE2E0E4" w14:textId="28647BF5" w:rsidR="00D01667" w:rsidRDefault="00D01667"/>
    <w:p w14:paraId="213DFFCC" w14:textId="7FB6D1BB" w:rsidR="00DD1E7E" w:rsidRPr="00D01667" w:rsidRDefault="00D01667">
      <w:pPr>
        <w:rPr>
          <w:u w:val="single"/>
        </w:rPr>
      </w:pPr>
      <w:r w:rsidRPr="00D01667">
        <w:rPr>
          <w:u w:val="single"/>
        </w:rPr>
        <w:t>Clinical Pharmacists:</w:t>
      </w:r>
    </w:p>
    <w:p w14:paraId="60993FCC" w14:textId="77777777" w:rsidR="00620C8D" w:rsidRDefault="00DD1E7E">
      <w:r>
        <w:t>H</w:t>
      </w:r>
      <w:r w:rsidR="00D01667">
        <w:t xml:space="preserve">ow </w:t>
      </w:r>
      <w:r>
        <w:t>are</w:t>
      </w:r>
      <w:r w:rsidR="00D01667">
        <w:t xml:space="preserve"> PCNs envision</w:t>
      </w:r>
      <w:r>
        <w:t>ing</w:t>
      </w:r>
      <w:r w:rsidR="00D01667">
        <w:t xml:space="preserve"> using these</w:t>
      </w:r>
      <w:r>
        <w:t>?</w:t>
      </w:r>
      <w:r w:rsidR="00D01667">
        <w:t xml:space="preserve"> </w:t>
      </w:r>
      <w:r>
        <w:t xml:space="preserve"> </w:t>
      </w:r>
    </w:p>
    <w:p w14:paraId="6A18C1A7" w14:textId="5A858464" w:rsidR="00620C8D" w:rsidRDefault="00DD1E7E" w:rsidP="00620C8D">
      <w:pPr>
        <w:pStyle w:val="ListParagraph"/>
        <w:numPr>
          <w:ilvl w:val="0"/>
          <w:numId w:val="1"/>
        </w:numPr>
      </w:pPr>
      <w:r>
        <w:t>T</w:t>
      </w:r>
      <w:r w:rsidR="00D01667">
        <w:t>here may be other professions that could bridge some of the gaps</w:t>
      </w:r>
      <w:r w:rsidR="00BE4CE8">
        <w:t>/take on roles</w:t>
      </w:r>
      <w:r w:rsidR="008E480A">
        <w:t xml:space="preserve">, dependent on the needs of </w:t>
      </w:r>
      <w:r w:rsidR="00DF06D7">
        <w:t>the local population</w:t>
      </w:r>
      <w:r w:rsidR="00D01667">
        <w:t xml:space="preserve">.  </w:t>
      </w:r>
    </w:p>
    <w:p w14:paraId="6001F5E8" w14:textId="15A6F973" w:rsidR="00620C8D" w:rsidRDefault="00DF06D7" w:rsidP="00620C8D">
      <w:pPr>
        <w:pStyle w:val="ListParagraph"/>
        <w:numPr>
          <w:ilvl w:val="0"/>
          <w:numId w:val="1"/>
        </w:numPr>
      </w:pPr>
      <w:r>
        <w:t>Pharmacy</w:t>
      </w:r>
      <w:r w:rsidR="00D01667">
        <w:t xml:space="preserve"> is a fairly static </w:t>
      </w:r>
      <w:r>
        <w:t>workforce</w:t>
      </w:r>
      <w:r w:rsidR="00D01667">
        <w:t xml:space="preserve"> in secondary </w:t>
      </w:r>
      <w:proofErr w:type="gramStart"/>
      <w:r w:rsidR="00D01667">
        <w:t>care, and</w:t>
      </w:r>
      <w:proofErr w:type="gramEnd"/>
      <w:r w:rsidR="00D01667">
        <w:t xml:space="preserve"> has shown less growth than other professional groups over the last 5-6 years (as per </w:t>
      </w:r>
      <w:r w:rsidR="009F675F">
        <w:t xml:space="preserve">HEE </w:t>
      </w:r>
      <w:r w:rsidR="00D01667">
        <w:t xml:space="preserve">dashboard data).  </w:t>
      </w:r>
    </w:p>
    <w:p w14:paraId="216A8704" w14:textId="5C029302" w:rsidR="00BE4CE8" w:rsidRDefault="00DF06D7" w:rsidP="008179E6">
      <w:pPr>
        <w:pStyle w:val="ListParagraph"/>
        <w:numPr>
          <w:ilvl w:val="0"/>
          <w:numId w:val="1"/>
        </w:numPr>
      </w:pPr>
      <w:r>
        <w:t>The b</w:t>
      </w:r>
      <w:r w:rsidR="00D01667">
        <w:t xml:space="preserve">ulk of the </w:t>
      </w:r>
      <w:r>
        <w:t>workforce</w:t>
      </w:r>
      <w:r w:rsidR="00D01667">
        <w:t xml:space="preserve"> in </w:t>
      </w:r>
      <w:r>
        <w:t>secondary</w:t>
      </w:r>
      <w:r w:rsidR="00D01667">
        <w:t xml:space="preserve"> care is </w:t>
      </w:r>
      <w:r w:rsidR="00611EFB">
        <w:t>comprised of the</w:t>
      </w:r>
      <w:r w:rsidR="00D01667">
        <w:t xml:space="preserve"> higher bandings – 7 and 8a+, which will be a source of competition for the roles in </w:t>
      </w:r>
      <w:r w:rsidR="00611EFB">
        <w:t>primary</w:t>
      </w:r>
      <w:r w:rsidR="00D01667">
        <w:t xml:space="preserve"> care</w:t>
      </w:r>
      <w:r w:rsidR="00BE4CE8">
        <w:t>.</w:t>
      </w:r>
      <w:r w:rsidR="00156000">
        <w:t xml:space="preserve">  Therefore, can the system accommodate </w:t>
      </w:r>
      <w:r w:rsidR="00287C48">
        <w:t>increased demand?</w:t>
      </w:r>
      <w:r w:rsidR="008179E6">
        <w:t xml:space="preserve">  Is there another approach?</w:t>
      </w:r>
    </w:p>
    <w:p w14:paraId="05ACFF57" w14:textId="2F641281" w:rsidR="00BE4CE8" w:rsidRDefault="00BE4CE8"/>
    <w:p w14:paraId="2D26BBC7" w14:textId="41FE7DC3" w:rsidR="009F675F" w:rsidRDefault="009F675F"/>
    <w:p w14:paraId="5B2B6BB8" w14:textId="2BD04F6E" w:rsidR="009F675F" w:rsidRDefault="009F675F"/>
    <w:p w14:paraId="718403C7" w14:textId="77777777" w:rsidR="009F675F" w:rsidRDefault="009F675F"/>
    <w:p w14:paraId="45C80C54" w14:textId="268DCF47" w:rsidR="00BE4CE8" w:rsidRPr="00BE4CE8" w:rsidRDefault="00BE4CE8">
      <w:pPr>
        <w:rPr>
          <w:u w:val="single"/>
        </w:rPr>
      </w:pPr>
    </w:p>
    <w:p w14:paraId="2955ABB0" w14:textId="3227529D" w:rsidR="00BE4CE8" w:rsidRDefault="00BE4CE8">
      <w:pPr>
        <w:rPr>
          <w:u w:val="single"/>
        </w:rPr>
      </w:pPr>
      <w:r w:rsidRPr="00BE4CE8">
        <w:rPr>
          <w:u w:val="single"/>
        </w:rPr>
        <w:t>S</w:t>
      </w:r>
      <w:r w:rsidR="00287C48">
        <w:rPr>
          <w:u w:val="single"/>
        </w:rPr>
        <w:t xml:space="preserve">ocial </w:t>
      </w:r>
      <w:r w:rsidRPr="00BE4CE8">
        <w:rPr>
          <w:u w:val="single"/>
        </w:rPr>
        <w:t>P</w:t>
      </w:r>
      <w:r w:rsidR="00287C48">
        <w:rPr>
          <w:u w:val="single"/>
        </w:rPr>
        <w:t xml:space="preserve">rescribing </w:t>
      </w:r>
      <w:r w:rsidRPr="00BE4CE8">
        <w:rPr>
          <w:u w:val="single"/>
        </w:rPr>
        <w:t>L</w:t>
      </w:r>
      <w:r w:rsidR="00287C48">
        <w:rPr>
          <w:u w:val="single"/>
        </w:rPr>
        <w:t xml:space="preserve">ink </w:t>
      </w:r>
      <w:r w:rsidRPr="00BE4CE8">
        <w:rPr>
          <w:u w:val="single"/>
        </w:rPr>
        <w:t>W</w:t>
      </w:r>
      <w:r w:rsidR="00287C48">
        <w:rPr>
          <w:u w:val="single"/>
        </w:rPr>
        <w:t>orkers (SPLWs)</w:t>
      </w:r>
      <w:r w:rsidRPr="00BE4CE8">
        <w:rPr>
          <w:u w:val="single"/>
        </w:rPr>
        <w:t>:</w:t>
      </w:r>
    </w:p>
    <w:p w14:paraId="10DA8188" w14:textId="77777777" w:rsidR="00235086" w:rsidRDefault="00235086" w:rsidP="00EB3754">
      <w:pPr>
        <w:pStyle w:val="ListParagraph"/>
        <w:numPr>
          <w:ilvl w:val="0"/>
          <w:numId w:val="2"/>
        </w:numPr>
      </w:pPr>
      <w:r>
        <w:t>Supply is unknown and uncertain.</w:t>
      </w:r>
    </w:p>
    <w:p w14:paraId="36D627A1" w14:textId="77777777" w:rsidR="00235086" w:rsidRDefault="00BE4CE8" w:rsidP="00EB3754">
      <w:pPr>
        <w:pStyle w:val="ListParagraph"/>
        <w:numPr>
          <w:ilvl w:val="0"/>
          <w:numId w:val="2"/>
        </w:numPr>
      </w:pPr>
      <w:r>
        <w:t xml:space="preserve">Do PCNs envision recruiting trainees or those who have been through training?  </w:t>
      </w:r>
    </w:p>
    <w:p w14:paraId="0790E920" w14:textId="77777777" w:rsidR="00EB3754" w:rsidRDefault="00BE4CE8" w:rsidP="00EB3754">
      <w:pPr>
        <w:pStyle w:val="ListParagraph"/>
        <w:numPr>
          <w:ilvl w:val="0"/>
          <w:numId w:val="2"/>
        </w:numPr>
      </w:pPr>
      <w:r>
        <w:t xml:space="preserve">Given demand from these returns there is unlikely to be sufficient supply available to meet demand; however, if taken on as trainees, </w:t>
      </w:r>
      <w:r w:rsidR="00EB3754">
        <w:t xml:space="preserve">the </w:t>
      </w:r>
      <w:r>
        <w:t xml:space="preserve">main limiting factor would be capacity of training institutions to provide training to all trainees.  NB Training ~7 months so fairly quick throughput, but not in time for March ’21.  </w:t>
      </w:r>
    </w:p>
    <w:p w14:paraId="5184B089" w14:textId="77777777" w:rsidR="00606C6A" w:rsidRDefault="00EB3754" w:rsidP="000463EA">
      <w:pPr>
        <w:pStyle w:val="ListParagraph"/>
        <w:numPr>
          <w:ilvl w:val="0"/>
          <w:numId w:val="2"/>
        </w:numPr>
      </w:pPr>
      <w:r>
        <w:t>There is p</w:t>
      </w:r>
      <w:r w:rsidR="00BE4CE8">
        <w:t xml:space="preserve">otential to appeal to those seeking stable employment during </w:t>
      </w:r>
      <w:r w:rsidR="000463EA">
        <w:t xml:space="preserve">a period of </w:t>
      </w:r>
      <w:r w:rsidR="00BE4CE8">
        <w:t>recession</w:t>
      </w:r>
      <w:r w:rsidR="000463EA">
        <w:t>,</w:t>
      </w:r>
      <w:r w:rsidR="00BE4CE8">
        <w:t xml:space="preserve"> and as a springboard to other health and social care careers, but</w:t>
      </w:r>
      <w:r w:rsidR="000463EA">
        <w:t xml:space="preserve"> this</w:t>
      </w:r>
      <w:r w:rsidR="00BE4CE8">
        <w:t xml:space="preserve"> may </w:t>
      </w:r>
      <w:r w:rsidR="000463EA">
        <w:t xml:space="preserve">also </w:t>
      </w:r>
      <w:r w:rsidR="00BE4CE8">
        <w:t>mean</w:t>
      </w:r>
      <w:r w:rsidR="000463EA">
        <w:t xml:space="preserve"> a </w:t>
      </w:r>
      <w:r w:rsidR="00BE4CE8">
        <w:t xml:space="preserve"> </w:t>
      </w:r>
      <w:r w:rsidR="00B45317">
        <w:t>greater turnover of this workforce if economy recovers more quickly</w:t>
      </w:r>
      <w:r w:rsidR="00006CC8">
        <w:t>,</w:t>
      </w:r>
      <w:r w:rsidR="00B45317">
        <w:t xml:space="preserve"> or career progression not</w:t>
      </w:r>
      <w:r w:rsidR="00006CC8">
        <w:t xml:space="preserve"> (adequately)</w:t>
      </w:r>
      <w:r w:rsidR="00B45317">
        <w:t xml:space="preserve"> factored in.  </w:t>
      </w:r>
    </w:p>
    <w:p w14:paraId="55479AC0" w14:textId="2DE1ABCB" w:rsidR="00BE4CE8" w:rsidRDefault="00006CC8" w:rsidP="000463EA">
      <w:pPr>
        <w:pStyle w:val="ListParagraph"/>
        <w:numPr>
          <w:ilvl w:val="0"/>
          <w:numId w:val="2"/>
        </w:numPr>
      </w:pPr>
      <w:r>
        <w:t>PCNs a</w:t>
      </w:r>
      <w:r w:rsidR="00B45317">
        <w:t xml:space="preserve">lso need to consider </w:t>
      </w:r>
      <w:r>
        <w:t xml:space="preserve">the </w:t>
      </w:r>
      <w:r w:rsidR="00B45317">
        <w:t xml:space="preserve">implications of taking on trainees – who will offer on-the-job support and supervision?  This will have a </w:t>
      </w:r>
      <w:proofErr w:type="gramStart"/>
      <w:r w:rsidR="00B45317">
        <w:t>short term</w:t>
      </w:r>
      <w:proofErr w:type="gramEnd"/>
      <w:r w:rsidR="00B45317">
        <w:t xml:space="preserve"> impact o</w:t>
      </w:r>
      <w:r w:rsidR="00606C6A">
        <w:t>n</w:t>
      </w:r>
      <w:r w:rsidR="00B45317">
        <w:t xml:space="preserve"> clinical capacity of those supporting.</w:t>
      </w:r>
    </w:p>
    <w:p w14:paraId="458865DC" w14:textId="296712FB" w:rsidR="00606C6A" w:rsidRDefault="00606C6A" w:rsidP="00606C6A"/>
    <w:p w14:paraId="724FF255" w14:textId="0010AE34" w:rsidR="008179E6" w:rsidRDefault="008179E6" w:rsidP="00606C6A"/>
    <w:p w14:paraId="1AF7B62B" w14:textId="2C1448B8" w:rsidR="008179E6" w:rsidRDefault="008179E6" w:rsidP="00606C6A"/>
    <w:p w14:paraId="43B28548" w14:textId="24E38369" w:rsidR="00BE4CE8" w:rsidRDefault="00BE4CE8">
      <w:pPr>
        <w:rPr>
          <w:u w:val="single"/>
        </w:rPr>
      </w:pPr>
      <w:r>
        <w:rPr>
          <w:u w:val="single"/>
        </w:rPr>
        <w:t>F</w:t>
      </w:r>
      <w:r w:rsidR="00606C6A">
        <w:rPr>
          <w:u w:val="single"/>
        </w:rPr>
        <w:t xml:space="preserve">irst </w:t>
      </w:r>
      <w:r>
        <w:rPr>
          <w:u w:val="single"/>
        </w:rPr>
        <w:t>C</w:t>
      </w:r>
      <w:r w:rsidR="00606C6A">
        <w:rPr>
          <w:u w:val="single"/>
        </w:rPr>
        <w:t xml:space="preserve">ontact </w:t>
      </w:r>
      <w:r>
        <w:rPr>
          <w:u w:val="single"/>
        </w:rPr>
        <w:t>P</w:t>
      </w:r>
      <w:r w:rsidR="00606C6A">
        <w:rPr>
          <w:u w:val="single"/>
        </w:rPr>
        <w:t>ractitioner</w:t>
      </w:r>
      <w:r>
        <w:rPr>
          <w:u w:val="single"/>
        </w:rPr>
        <w:t xml:space="preserve"> (Physio</w:t>
      </w:r>
      <w:r w:rsidR="00606C6A">
        <w:rPr>
          <w:u w:val="single"/>
        </w:rPr>
        <w:t>therapy</w:t>
      </w:r>
      <w:r>
        <w:rPr>
          <w:u w:val="single"/>
        </w:rPr>
        <w:t>):</w:t>
      </w:r>
    </w:p>
    <w:p w14:paraId="14CAF991" w14:textId="5234965A" w:rsidR="00606C6A" w:rsidRDefault="00B45317" w:rsidP="00606C6A">
      <w:pPr>
        <w:pStyle w:val="ListParagraph"/>
        <w:numPr>
          <w:ilvl w:val="0"/>
          <w:numId w:val="3"/>
        </w:numPr>
      </w:pPr>
      <w:r>
        <w:t xml:space="preserve">See </w:t>
      </w:r>
      <w:r w:rsidR="009B50FB">
        <w:t xml:space="preserve">accompanying </w:t>
      </w:r>
      <w:r>
        <w:t xml:space="preserve">slide pack for </w:t>
      </w:r>
      <w:r w:rsidR="00606C6A">
        <w:t xml:space="preserve">the </w:t>
      </w:r>
      <w:r>
        <w:t xml:space="preserve">latest banding breakdown in </w:t>
      </w:r>
      <w:r w:rsidR="009B50FB">
        <w:t>secondary</w:t>
      </w:r>
      <w:r>
        <w:t xml:space="preserve"> care.  </w:t>
      </w:r>
      <w:r w:rsidR="00606C6A">
        <w:t>PCNs will n</w:t>
      </w:r>
      <w:r>
        <w:t xml:space="preserve">eed to consider these will not be newly qualified staff and FCPs require a minimum of 3 years’ experience, plus additional training.  </w:t>
      </w:r>
      <w:r w:rsidR="00CB7CA7">
        <w:t xml:space="preserve">There is not therefore a ready supply, which will impact on </w:t>
      </w:r>
      <w:r w:rsidR="00B8247D">
        <w:t>short term recruitment aims.</w:t>
      </w:r>
    </w:p>
    <w:p w14:paraId="6FE3FE19" w14:textId="6C664676" w:rsidR="007239CB" w:rsidRDefault="00606C6A" w:rsidP="00606C6A">
      <w:pPr>
        <w:pStyle w:val="ListParagraph"/>
        <w:numPr>
          <w:ilvl w:val="0"/>
          <w:numId w:val="3"/>
        </w:numPr>
      </w:pPr>
      <w:r>
        <w:t>A m</w:t>
      </w:r>
      <w:r w:rsidR="00B45317">
        <w:t xml:space="preserve">ore junior workforce could be a possibility, only if adequate supervision from specialist practitioners available.  If bypassing </w:t>
      </w:r>
      <w:r w:rsidR="00B8247D">
        <w:t xml:space="preserve">the </w:t>
      </w:r>
      <w:r w:rsidR="00B45317">
        <w:t xml:space="preserve">GP referral process, they would need </w:t>
      </w:r>
      <w:r w:rsidR="00B8247D">
        <w:t xml:space="preserve">sufficient </w:t>
      </w:r>
      <w:r w:rsidR="00B45317">
        <w:t xml:space="preserve">experience to differentiate potentially serious conditions/medical emergencies, e.g. cauda equina syndrome (commonly detected by experienced MSK PTs, but very serious implications if missed/misdiagnosed).  Note that PTs are one of the most common groups of non-medical prescribers, within specific parameters, e.g. pain meds. </w:t>
      </w:r>
      <w:r w:rsidR="007239CB">
        <w:t>(</w:t>
      </w:r>
      <w:hyperlink r:id="rId11" w:history="1">
        <w:r w:rsidR="00B45317" w:rsidRPr="00A26FAC">
          <w:rPr>
            <w:rStyle w:val="Hyperlink"/>
          </w:rPr>
          <w:t>https://bnfc.nice.org.uk/guidance/non-medical-prescribing.html</w:t>
        </w:r>
      </w:hyperlink>
      <w:r w:rsidR="00B45317">
        <w:t xml:space="preserve">).  </w:t>
      </w:r>
      <w:r w:rsidR="000D49F1">
        <w:t>When</w:t>
      </w:r>
      <w:r w:rsidR="007239CB">
        <w:t xml:space="preserve"> considering if a more junior workforce could be </w:t>
      </w:r>
      <w:r w:rsidR="000D49F1">
        <w:t>used, this should be considered across the whole region as a lack of parity</w:t>
      </w:r>
      <w:r w:rsidR="009E6EB0">
        <w:t xml:space="preserve"> will impact local </w:t>
      </w:r>
      <w:proofErr w:type="gramStart"/>
      <w:r w:rsidR="009E6EB0">
        <w:t>recruitment, and</w:t>
      </w:r>
      <w:proofErr w:type="gramEnd"/>
      <w:r w:rsidR="009E6EB0">
        <w:t xml:space="preserve"> may not be feasible in all areas.  Ideally this should be nationally agreed; however, </w:t>
      </w:r>
      <w:r w:rsidR="007813BD">
        <w:t>the immediate priority would be regional equitability.</w:t>
      </w:r>
    </w:p>
    <w:p w14:paraId="1B641B7B" w14:textId="6E6D2037" w:rsidR="007A24D5" w:rsidRDefault="00DE4768" w:rsidP="00606C6A">
      <w:pPr>
        <w:pStyle w:val="ListParagraph"/>
        <w:numPr>
          <w:ilvl w:val="0"/>
          <w:numId w:val="3"/>
        </w:numPr>
      </w:pPr>
      <w:r>
        <w:t>There exists the potential</w:t>
      </w:r>
      <w:r w:rsidR="00B45317">
        <w:t xml:space="preserve"> for split role</w:t>
      </w:r>
      <w:r>
        <w:t>s across primary and secondary care</w:t>
      </w:r>
      <w:r w:rsidR="00B45317">
        <w:t xml:space="preserve"> to support career development; although some will wish to remain clinical, common career progression is into management beyond 8a level, and more opportunities </w:t>
      </w:r>
      <w:r w:rsidR="007A24D5">
        <w:t xml:space="preserve">exist </w:t>
      </w:r>
      <w:r w:rsidR="00B45317">
        <w:t xml:space="preserve">in </w:t>
      </w:r>
      <w:r w:rsidR="0057350C">
        <w:t>secondar</w:t>
      </w:r>
      <w:r w:rsidR="00E2415A">
        <w:t>y</w:t>
      </w:r>
      <w:r w:rsidR="00B45317">
        <w:t xml:space="preserve"> care.</w:t>
      </w:r>
      <w:r w:rsidR="001F7388">
        <w:t xml:space="preserve">  </w:t>
      </w:r>
      <w:r w:rsidR="007A24D5">
        <w:t xml:space="preserve">Secondary care often offers more robust progression pathways.  </w:t>
      </w:r>
    </w:p>
    <w:p w14:paraId="11E62605" w14:textId="57600AA3" w:rsidR="00B45317" w:rsidRDefault="001F7388" w:rsidP="00606C6A">
      <w:pPr>
        <w:pStyle w:val="ListParagraph"/>
        <w:numPr>
          <w:ilvl w:val="0"/>
          <w:numId w:val="3"/>
        </w:numPr>
      </w:pPr>
      <w:r>
        <w:t>Also</w:t>
      </w:r>
      <w:r w:rsidR="007A24D5">
        <w:t xml:space="preserve"> need to</w:t>
      </w:r>
      <w:r>
        <w:t xml:space="preserve"> consider clinical supervision </w:t>
      </w:r>
      <w:proofErr w:type="gramStart"/>
      <w:r>
        <w:t>- ?peer</w:t>
      </w:r>
      <w:proofErr w:type="gramEnd"/>
      <w:r>
        <w:t xml:space="preserve"> support networks/via </w:t>
      </w:r>
      <w:r w:rsidR="00E2415A">
        <w:t>secondary</w:t>
      </w:r>
      <w:r>
        <w:t xml:space="preserve"> care links/split posts.</w:t>
      </w:r>
    </w:p>
    <w:p w14:paraId="1C79CE57" w14:textId="1A84E409" w:rsidR="009C6260" w:rsidRDefault="009C6260" w:rsidP="009C6260"/>
    <w:p w14:paraId="772CF86B" w14:textId="13432832" w:rsidR="00E2415A" w:rsidRDefault="00E2415A" w:rsidP="009C6260"/>
    <w:p w14:paraId="1269BB71" w14:textId="7D489725" w:rsidR="00E2415A" w:rsidRDefault="00E2415A" w:rsidP="009C6260"/>
    <w:p w14:paraId="64DB5003" w14:textId="4C9980BF" w:rsidR="00E2415A" w:rsidRDefault="00E2415A" w:rsidP="009C6260"/>
    <w:p w14:paraId="37ECEA51" w14:textId="77777777" w:rsidR="00E2415A" w:rsidRPr="00B45317" w:rsidRDefault="00E2415A" w:rsidP="009C6260"/>
    <w:p w14:paraId="376AFEAB" w14:textId="37BC8F1E" w:rsidR="00BE4CE8" w:rsidRDefault="00BE4CE8">
      <w:pPr>
        <w:rPr>
          <w:u w:val="single"/>
        </w:rPr>
      </w:pPr>
      <w:r>
        <w:rPr>
          <w:u w:val="single"/>
        </w:rPr>
        <w:t>PAs:</w:t>
      </w:r>
    </w:p>
    <w:p w14:paraId="54E42042" w14:textId="623D4AEE" w:rsidR="004775BD" w:rsidRDefault="00B45317" w:rsidP="009C6260">
      <w:pPr>
        <w:pStyle w:val="ListParagraph"/>
        <w:numPr>
          <w:ilvl w:val="0"/>
          <w:numId w:val="4"/>
        </w:numPr>
      </w:pPr>
      <w:r>
        <w:t xml:space="preserve">From </w:t>
      </w:r>
      <w:r w:rsidR="00D706CD">
        <w:t xml:space="preserve">trust </w:t>
      </w:r>
      <w:r w:rsidR="005B2483">
        <w:t>operation plans</w:t>
      </w:r>
      <w:r>
        <w:t xml:space="preserve">, PA figures suggest 137.3 FTE in March </w:t>
      </w:r>
      <w:r w:rsidR="001F7388">
        <w:t>’</w:t>
      </w:r>
      <w:r>
        <w:t>19</w:t>
      </w:r>
      <w:r w:rsidR="001F7388">
        <w:t>, aiming for 158.6 FTE in Ma</w:t>
      </w:r>
      <w:r w:rsidR="00E2415A">
        <w:t>r</w:t>
      </w:r>
      <w:r w:rsidR="001F7388">
        <w:t>ch ’20</w:t>
      </w:r>
      <w:r w:rsidR="00E2415A">
        <w:t>, but no updated figures available</w:t>
      </w:r>
      <w:r w:rsidR="001F7388">
        <w:t xml:space="preserve">.  Predicted outturn for London </w:t>
      </w:r>
      <w:r w:rsidR="007A6B7C">
        <w:t xml:space="preserve">is </w:t>
      </w:r>
      <w:r w:rsidR="001F7388">
        <w:t xml:space="preserve">updated on </w:t>
      </w:r>
      <w:r w:rsidR="00815201">
        <w:t xml:space="preserve">accompanying </w:t>
      </w:r>
      <w:r w:rsidR="001F7388">
        <w:t xml:space="preserve">slides.  </w:t>
      </w:r>
    </w:p>
    <w:p w14:paraId="45370CBA" w14:textId="7C77C1F3" w:rsidR="004775BD" w:rsidRDefault="001F7388" w:rsidP="009C6260">
      <w:pPr>
        <w:pStyle w:val="ListParagraph"/>
        <w:numPr>
          <w:ilvl w:val="0"/>
          <w:numId w:val="4"/>
        </w:numPr>
      </w:pPr>
      <w:r>
        <w:t xml:space="preserve">Main issues are sufficient supply to meet demand across </w:t>
      </w:r>
      <w:proofErr w:type="gramStart"/>
      <w:r>
        <w:t>London, and</w:t>
      </w:r>
      <w:proofErr w:type="gramEnd"/>
      <w:r>
        <w:t xml:space="preserve"> attracting recruits to </w:t>
      </w:r>
      <w:r w:rsidR="00815201">
        <w:t>primary</w:t>
      </w:r>
      <w:r>
        <w:t xml:space="preserve"> care over</w:t>
      </w:r>
      <w:r w:rsidR="00A61DF0">
        <w:t xml:space="preserve"> potentially</w:t>
      </w:r>
      <w:r>
        <w:t xml:space="preserve"> more exciting </w:t>
      </w:r>
      <w:r w:rsidR="00815201">
        <w:t xml:space="preserve">secondary </w:t>
      </w:r>
      <w:r>
        <w:t xml:space="preserve">care roles.  </w:t>
      </w:r>
      <w:r w:rsidR="002B09EB">
        <w:t>Could joint rotations be a possibility?</w:t>
      </w:r>
    </w:p>
    <w:p w14:paraId="74FF087A" w14:textId="25DB7FA6" w:rsidR="004775BD" w:rsidRDefault="001F7388" w:rsidP="009C6260">
      <w:pPr>
        <w:pStyle w:val="ListParagraph"/>
        <w:numPr>
          <w:ilvl w:val="0"/>
          <w:numId w:val="4"/>
        </w:numPr>
      </w:pPr>
      <w:r>
        <w:t>In general career progression pathways for PAs are a concern/</w:t>
      </w:r>
      <w:proofErr w:type="gramStart"/>
      <w:r>
        <w:t>consideration, but</w:t>
      </w:r>
      <w:proofErr w:type="gramEnd"/>
      <w:r>
        <w:t xml:space="preserve"> should be factored into promotion of </w:t>
      </w:r>
      <w:r w:rsidR="00815201">
        <w:t>primary</w:t>
      </w:r>
      <w:r>
        <w:t xml:space="preserve"> care roles.  </w:t>
      </w:r>
    </w:p>
    <w:p w14:paraId="57CB49CA" w14:textId="1457A170" w:rsidR="00B45317" w:rsidRDefault="004775BD" w:rsidP="009C6260">
      <w:pPr>
        <w:pStyle w:val="ListParagraph"/>
        <w:numPr>
          <w:ilvl w:val="0"/>
          <w:numId w:val="4"/>
        </w:numPr>
      </w:pPr>
      <w:r>
        <w:t>There is h</w:t>
      </w:r>
      <w:r w:rsidR="001F7388">
        <w:t xml:space="preserve">uge potential for use in </w:t>
      </w:r>
      <w:r w:rsidR="00815201">
        <w:t>primary</w:t>
      </w:r>
      <w:r w:rsidR="001F7388">
        <w:t xml:space="preserve"> care to free up GP time; however also need to consider supervision, particularly for new grads and impact of this on clinical time of supervising staff.</w:t>
      </w:r>
    </w:p>
    <w:p w14:paraId="36612338" w14:textId="367015E5" w:rsidR="007A6B7C" w:rsidRDefault="007A6B7C" w:rsidP="007A6B7C"/>
    <w:p w14:paraId="7492C4EF" w14:textId="77777777" w:rsidR="007A6B7C" w:rsidRPr="00B45317" w:rsidRDefault="007A6B7C" w:rsidP="007A6B7C"/>
    <w:p w14:paraId="645A832E" w14:textId="630E9921" w:rsidR="00BE4CE8" w:rsidRDefault="00BE4CE8">
      <w:pPr>
        <w:rPr>
          <w:u w:val="single"/>
        </w:rPr>
      </w:pPr>
      <w:r>
        <w:rPr>
          <w:u w:val="single"/>
        </w:rPr>
        <w:lastRenderedPageBreak/>
        <w:t>Pharmacy Technicians:</w:t>
      </w:r>
    </w:p>
    <w:p w14:paraId="54B08B87" w14:textId="77777777" w:rsidR="006B5A83" w:rsidRDefault="001F7388" w:rsidP="00815201">
      <w:pPr>
        <w:pStyle w:val="ListParagraph"/>
        <w:numPr>
          <w:ilvl w:val="0"/>
          <w:numId w:val="5"/>
        </w:numPr>
      </w:pPr>
      <w:r>
        <w:t xml:space="preserve">Banding profile </w:t>
      </w:r>
      <w:r w:rsidR="006B5A83">
        <w:t>is given in accompanying slides</w:t>
      </w:r>
      <w:r>
        <w:t xml:space="preserve">, including trainees to indicate potential supply.  </w:t>
      </w:r>
    </w:p>
    <w:p w14:paraId="2D66DB17" w14:textId="77777777" w:rsidR="0070598A" w:rsidRDefault="001F7388" w:rsidP="00815201">
      <w:pPr>
        <w:pStyle w:val="ListParagraph"/>
        <w:numPr>
          <w:ilvl w:val="0"/>
          <w:numId w:val="5"/>
        </w:numPr>
      </w:pPr>
      <w:r>
        <w:t>Note on-the-job training offers</w:t>
      </w:r>
      <w:r w:rsidR="006B5A83">
        <w:t xml:space="preserve"> a</w:t>
      </w:r>
      <w:r>
        <w:t xml:space="preserve"> more immediate </w:t>
      </w:r>
      <w:r w:rsidR="006B5A83">
        <w:t>workforce</w:t>
      </w:r>
      <w:r>
        <w:t xml:space="preserve"> solution, but </w:t>
      </w:r>
      <w:r w:rsidR="006B5A83">
        <w:t xml:space="preserve">comes </w:t>
      </w:r>
      <w:r>
        <w:t xml:space="preserve">with </w:t>
      </w:r>
      <w:r w:rsidR="006B5A83">
        <w:t xml:space="preserve">a </w:t>
      </w:r>
      <w:r>
        <w:t>supervisory requirement</w:t>
      </w:r>
      <w:r w:rsidR="0070598A">
        <w:t>, therefore this w</w:t>
      </w:r>
      <w:r>
        <w:t xml:space="preserve">ill be limited by capacity of pharmacists to adequately support </w:t>
      </w:r>
      <w:proofErr w:type="spellStart"/>
      <w:r>
        <w:t>PTechs</w:t>
      </w:r>
      <w:proofErr w:type="spellEnd"/>
      <w:r>
        <w:t xml:space="preserve"> in training, with impact on their available clinical capacity.  </w:t>
      </w:r>
    </w:p>
    <w:p w14:paraId="32676FF5" w14:textId="77777777" w:rsidR="0070598A" w:rsidRDefault="001F7388" w:rsidP="00815201">
      <w:pPr>
        <w:pStyle w:val="ListParagraph"/>
        <w:numPr>
          <w:ilvl w:val="0"/>
          <w:numId w:val="5"/>
        </w:numPr>
      </w:pPr>
      <w:r>
        <w:t xml:space="preserve">Low supply noted when recruiting to </w:t>
      </w:r>
      <w:r w:rsidR="0070598A">
        <w:t xml:space="preserve">the </w:t>
      </w:r>
      <w:r>
        <w:t xml:space="preserve">Nightingale hospitals.  </w:t>
      </w:r>
    </w:p>
    <w:p w14:paraId="6BAD89F5" w14:textId="77777777" w:rsidR="00E46C8D" w:rsidRDefault="001F7388" w:rsidP="00815201">
      <w:pPr>
        <w:pStyle w:val="ListParagraph"/>
        <w:numPr>
          <w:ilvl w:val="0"/>
          <w:numId w:val="5"/>
        </w:numPr>
      </w:pPr>
      <w:r>
        <w:t xml:space="preserve">Note higher banded techs will be potentially less desirable as reimbursement fee </w:t>
      </w:r>
      <w:proofErr w:type="gramStart"/>
      <w:r>
        <w:t>won’t</w:t>
      </w:r>
      <w:proofErr w:type="gramEnd"/>
      <w:r>
        <w:t xml:space="preserve"> cover full salary and those on higher banding </w:t>
      </w:r>
      <w:r w:rsidR="0070598A">
        <w:t xml:space="preserve">are </w:t>
      </w:r>
      <w:r>
        <w:t xml:space="preserve">unlikely to drop bands!  (But is the ESR data correct or are these pharmacists that have been incorrectly assigned to tech roles??)  </w:t>
      </w:r>
    </w:p>
    <w:p w14:paraId="42156121" w14:textId="7B926174" w:rsidR="001F7388" w:rsidRDefault="001F7388" w:rsidP="00815201">
      <w:pPr>
        <w:pStyle w:val="ListParagraph"/>
        <w:numPr>
          <w:ilvl w:val="0"/>
          <w:numId w:val="5"/>
        </w:numPr>
      </w:pPr>
      <w:r>
        <w:t>Also need to consider access to training by training institutions – is there capacity in that system to support recruitment of trainees?  Are there set start dates that support the March ’21 target for recruitment?</w:t>
      </w:r>
    </w:p>
    <w:p w14:paraId="39B19D3F" w14:textId="6114F6D3" w:rsidR="00E46C8D" w:rsidRDefault="00E46C8D" w:rsidP="00E46C8D"/>
    <w:p w14:paraId="7C4DECAB" w14:textId="77777777" w:rsidR="00E46C8D" w:rsidRPr="001F7388" w:rsidRDefault="00E46C8D" w:rsidP="00E46C8D"/>
    <w:p w14:paraId="50941B36" w14:textId="2905250D" w:rsidR="001F7388" w:rsidRPr="001F7388" w:rsidRDefault="001F7388"/>
    <w:p w14:paraId="62D738F2" w14:textId="2D0656D5" w:rsidR="00BE4CE8" w:rsidRDefault="00BE4CE8">
      <w:pPr>
        <w:rPr>
          <w:u w:val="single"/>
        </w:rPr>
      </w:pPr>
      <w:r>
        <w:rPr>
          <w:u w:val="single"/>
        </w:rPr>
        <w:t>OTs:</w:t>
      </w:r>
    </w:p>
    <w:p w14:paraId="12E93B18" w14:textId="77777777" w:rsidR="00E46C8D" w:rsidRDefault="00E46C8D" w:rsidP="00E46C8D">
      <w:pPr>
        <w:pStyle w:val="ListParagraph"/>
        <w:numPr>
          <w:ilvl w:val="0"/>
          <w:numId w:val="6"/>
        </w:numPr>
      </w:pPr>
      <w:r>
        <w:t>There is l</w:t>
      </w:r>
      <w:r w:rsidR="00D30A4D">
        <w:t xml:space="preserve">ow demand form PCNs for these, but are they aware of the full potential of this group?  </w:t>
      </w:r>
    </w:p>
    <w:p w14:paraId="1C45BABB" w14:textId="77777777" w:rsidR="000E0FDA" w:rsidRDefault="00D30A4D" w:rsidP="000E0FDA">
      <w:pPr>
        <w:pStyle w:val="ListParagraph"/>
        <w:numPr>
          <w:ilvl w:val="0"/>
          <w:numId w:val="6"/>
        </w:numPr>
      </w:pPr>
      <w:r>
        <w:t xml:space="preserve">OTs can train to be </w:t>
      </w:r>
      <w:proofErr w:type="spellStart"/>
      <w:r>
        <w:t>FCPractitioners</w:t>
      </w:r>
      <w:proofErr w:type="spellEnd"/>
      <w:r>
        <w:t xml:space="preserve"> (with 3 years minimum experience – likely more) so may be able to free up some GP time.  Likely to be suitable for those with a broad skillset, e.g. emergency medicine/specialised medicine, rather than those with highly specific specialities (neuro/ortho/oncology/MH); however, if tailored to population profile, could be extremely valuable, e.g. MH support from specialist MH OT.  </w:t>
      </w:r>
      <w:r w:rsidR="000E0FDA">
        <w:t>It w</w:t>
      </w:r>
      <w:r>
        <w:t xml:space="preserve">ould be worth liaising with RCOT for further information re. promotion and application in this sense.  </w:t>
      </w:r>
    </w:p>
    <w:p w14:paraId="1882308C" w14:textId="77777777" w:rsidR="002C3B89" w:rsidRDefault="00D30A4D" w:rsidP="000E0FDA">
      <w:pPr>
        <w:pStyle w:val="ListParagraph"/>
        <w:numPr>
          <w:ilvl w:val="0"/>
          <w:numId w:val="6"/>
        </w:numPr>
      </w:pPr>
      <w:r>
        <w:t xml:space="preserve">OTs can be trained as prescribers, but </w:t>
      </w:r>
      <w:r w:rsidR="000E0FDA">
        <w:t xml:space="preserve">there are </w:t>
      </w:r>
      <w:r>
        <w:t xml:space="preserve">fewer </w:t>
      </w:r>
      <w:r w:rsidR="000E0FDA">
        <w:t xml:space="preserve">prescribers </w:t>
      </w:r>
      <w:r w:rsidR="002C3B89">
        <w:t>compared to</w:t>
      </w:r>
      <w:r w:rsidR="000E0FDA">
        <w:t xml:space="preserve"> </w:t>
      </w:r>
      <w:proofErr w:type="gramStart"/>
      <w:r>
        <w:t>physios in reality</w:t>
      </w:r>
      <w:proofErr w:type="gramEnd"/>
      <w:r>
        <w:t xml:space="preserve">.  </w:t>
      </w:r>
    </w:p>
    <w:p w14:paraId="22363664" w14:textId="77777777" w:rsidR="002C3B89" w:rsidRDefault="00D30A4D" w:rsidP="000E0FDA">
      <w:pPr>
        <w:pStyle w:val="ListParagraph"/>
        <w:numPr>
          <w:ilvl w:val="0"/>
          <w:numId w:val="6"/>
        </w:numPr>
      </w:pPr>
      <w:r>
        <w:t xml:space="preserve">Good general, holistic support potential, and a natural fit for supervision of public health roles as many of these tasks are generally carried out by OTs in the absence of specific staff for signposting, etc.  </w:t>
      </w:r>
    </w:p>
    <w:p w14:paraId="47859E38" w14:textId="44D39A88" w:rsidR="00B62B01" w:rsidRDefault="00B62B01" w:rsidP="000E0FDA">
      <w:pPr>
        <w:pStyle w:val="ListParagraph"/>
        <w:numPr>
          <w:ilvl w:val="0"/>
          <w:numId w:val="6"/>
        </w:numPr>
      </w:pPr>
      <w:r>
        <w:t>Primary care m</w:t>
      </w:r>
      <w:r w:rsidR="00D30A4D">
        <w:t>ay appeal to those burnt out from fast paced acute</w:t>
      </w:r>
      <w:r w:rsidR="002C3B89">
        <w:t xml:space="preserve"> work</w:t>
      </w:r>
      <w:r w:rsidR="00D30A4D">
        <w:t xml:space="preserve">, or those wishing for greater flexibility and autonomy in their roles, but again need to consider career progression pathways.  </w:t>
      </w:r>
    </w:p>
    <w:p w14:paraId="673E046A" w14:textId="5A5FD0CD" w:rsidR="001F7388" w:rsidRPr="001F7388" w:rsidRDefault="00B62B01" w:rsidP="000E0FDA">
      <w:pPr>
        <w:pStyle w:val="ListParagraph"/>
        <w:numPr>
          <w:ilvl w:val="0"/>
          <w:numId w:val="6"/>
        </w:numPr>
      </w:pPr>
      <w:r>
        <w:t>It m</w:t>
      </w:r>
      <w:r w:rsidR="00D30A4D">
        <w:t>ay be possible to attract those to support into a ‘fast-track’ type development, e.g. experienced band 6 looking to progress rapidly in a defined context (primary care), but this needs careful consideration.</w:t>
      </w:r>
    </w:p>
    <w:p w14:paraId="0C4DCC3F" w14:textId="77777777" w:rsidR="00B62B01" w:rsidRDefault="00B62B01">
      <w:pPr>
        <w:rPr>
          <w:u w:val="single"/>
        </w:rPr>
      </w:pPr>
    </w:p>
    <w:p w14:paraId="074BEBAD" w14:textId="77777777" w:rsidR="00B62B01" w:rsidRDefault="00B62B01">
      <w:pPr>
        <w:rPr>
          <w:u w:val="single"/>
        </w:rPr>
      </w:pPr>
    </w:p>
    <w:p w14:paraId="52B66566" w14:textId="77777777" w:rsidR="00B62B01" w:rsidRDefault="00B62B01">
      <w:pPr>
        <w:rPr>
          <w:u w:val="single"/>
        </w:rPr>
      </w:pPr>
    </w:p>
    <w:p w14:paraId="1590317F" w14:textId="77777777" w:rsidR="00B62B01" w:rsidRDefault="00B62B01">
      <w:pPr>
        <w:rPr>
          <w:u w:val="single"/>
        </w:rPr>
      </w:pPr>
    </w:p>
    <w:p w14:paraId="1EB0CB1D" w14:textId="77777777" w:rsidR="00B62B01" w:rsidRDefault="00B62B01">
      <w:pPr>
        <w:rPr>
          <w:u w:val="single"/>
        </w:rPr>
      </w:pPr>
    </w:p>
    <w:p w14:paraId="258A3CAC" w14:textId="57C79520" w:rsidR="00BE4CE8" w:rsidRDefault="00BE4CE8">
      <w:pPr>
        <w:rPr>
          <w:u w:val="single"/>
        </w:rPr>
      </w:pPr>
      <w:r>
        <w:rPr>
          <w:u w:val="single"/>
        </w:rPr>
        <w:lastRenderedPageBreak/>
        <w:t>Dietitians:</w:t>
      </w:r>
    </w:p>
    <w:p w14:paraId="13B69A69" w14:textId="77777777" w:rsidR="00FD56D9" w:rsidRDefault="00D30A4D" w:rsidP="00B62B01">
      <w:pPr>
        <w:pStyle w:val="ListParagraph"/>
        <w:numPr>
          <w:ilvl w:val="0"/>
          <w:numId w:val="7"/>
        </w:numPr>
      </w:pPr>
      <w:r>
        <w:t>Similar situation to OTs, but more specific clinical work</w:t>
      </w:r>
      <w:r w:rsidR="00B62B01">
        <w:t xml:space="preserve"> streams can be determined</w:t>
      </w:r>
      <w:r>
        <w:t xml:space="preserve">.  </w:t>
      </w:r>
    </w:p>
    <w:p w14:paraId="3E9989FC" w14:textId="77777777" w:rsidR="00FD56D9" w:rsidRDefault="00FD56D9" w:rsidP="00B62B01">
      <w:pPr>
        <w:pStyle w:val="ListParagraph"/>
        <w:numPr>
          <w:ilvl w:val="0"/>
          <w:numId w:val="7"/>
        </w:numPr>
      </w:pPr>
      <w:r>
        <w:t>There is p</w:t>
      </w:r>
      <w:r w:rsidR="00D30A4D">
        <w:t xml:space="preserve">otential to free up GP time through public health initiatives, e.g. weight management groups, specialised diets (heart health, diabetic mgmt., etc.), but again need to be experienced staff to spot red flags.  </w:t>
      </w:r>
    </w:p>
    <w:p w14:paraId="34A1429E" w14:textId="77777777" w:rsidR="00FD56D9" w:rsidRDefault="00D30A4D" w:rsidP="00B62B01">
      <w:pPr>
        <w:pStyle w:val="ListParagraph"/>
        <w:numPr>
          <w:ilvl w:val="0"/>
          <w:numId w:val="7"/>
        </w:numPr>
      </w:pPr>
      <w:r>
        <w:t xml:space="preserve">Can be </w:t>
      </w:r>
      <w:proofErr w:type="spellStart"/>
      <w:r>
        <w:t>FCPractitioners</w:t>
      </w:r>
      <w:proofErr w:type="spellEnd"/>
      <w:r>
        <w:t xml:space="preserve"> with additional training.  </w:t>
      </w:r>
    </w:p>
    <w:p w14:paraId="0647AC88" w14:textId="77777777" w:rsidR="00FD56D9" w:rsidRDefault="00D30A4D" w:rsidP="00B62B01">
      <w:pPr>
        <w:pStyle w:val="ListParagraph"/>
        <w:numPr>
          <w:ilvl w:val="0"/>
          <w:numId w:val="7"/>
        </w:numPr>
      </w:pPr>
      <w:r>
        <w:t xml:space="preserve">As with OT, </w:t>
      </w:r>
      <w:r w:rsidR="00FD56D9">
        <w:t xml:space="preserve">it </w:t>
      </w:r>
      <w:r>
        <w:t xml:space="preserve">may be possible to attract those to support into a ‘fast-track’ type development, e.g. experienced band 6 looking to progress rapidly in a defined context (primary care), but this needs careful consideration.  </w:t>
      </w:r>
    </w:p>
    <w:p w14:paraId="3241F6F9" w14:textId="06B28D24" w:rsidR="00D30A4D" w:rsidRPr="001F7388" w:rsidRDefault="00D30A4D" w:rsidP="00B62B01">
      <w:pPr>
        <w:pStyle w:val="ListParagraph"/>
        <w:numPr>
          <w:ilvl w:val="0"/>
          <w:numId w:val="7"/>
        </w:numPr>
      </w:pPr>
      <w:proofErr w:type="gramStart"/>
      <w:r>
        <w:t>Also</w:t>
      </w:r>
      <w:proofErr w:type="gramEnd"/>
      <w:r>
        <w:t xml:space="preserve"> may be able to review nutritional support prescriptions for hospital discharges, and manage this without having to involve GP.  Anecdotally</w:t>
      </w:r>
      <w:r w:rsidR="00FD56D9">
        <w:t>,</w:t>
      </w:r>
      <w:r>
        <w:t xml:space="preserve"> there is a lot of waste of nutritional supplements following discharge</w:t>
      </w:r>
      <w:r w:rsidR="008E5549">
        <w:t xml:space="preserve"> due to poor review and follow up.</w:t>
      </w:r>
    </w:p>
    <w:p w14:paraId="58C8E0CB" w14:textId="0ADD463E" w:rsidR="00D30A4D" w:rsidRDefault="00D30A4D"/>
    <w:p w14:paraId="65DC79C9" w14:textId="5638F5E0" w:rsidR="00FD56D9" w:rsidRDefault="00FD56D9"/>
    <w:p w14:paraId="623D74C1" w14:textId="77777777" w:rsidR="00FD56D9" w:rsidRPr="00D30A4D" w:rsidRDefault="00FD56D9"/>
    <w:p w14:paraId="621C63A4" w14:textId="0F3C5E17" w:rsidR="00BE4CE8" w:rsidRDefault="00BE4CE8">
      <w:pPr>
        <w:rPr>
          <w:u w:val="single"/>
        </w:rPr>
      </w:pPr>
      <w:r>
        <w:rPr>
          <w:u w:val="single"/>
        </w:rPr>
        <w:t>Podiatrists:</w:t>
      </w:r>
    </w:p>
    <w:p w14:paraId="01D35A0A" w14:textId="77777777" w:rsidR="005D0A65" w:rsidRDefault="008E5549" w:rsidP="00FD56D9">
      <w:pPr>
        <w:pStyle w:val="ListParagraph"/>
        <w:numPr>
          <w:ilvl w:val="0"/>
          <w:numId w:val="8"/>
        </w:numPr>
      </w:pPr>
      <w:r>
        <w:t xml:space="preserve">Similar situation to OT and Dietitians; can become </w:t>
      </w:r>
      <w:proofErr w:type="spellStart"/>
      <w:r>
        <w:t>FCPractitioners</w:t>
      </w:r>
      <w:proofErr w:type="spellEnd"/>
      <w:r>
        <w:t xml:space="preserve"> with min. 3 </w:t>
      </w:r>
      <w:proofErr w:type="spellStart"/>
      <w:r>
        <w:t>years experience</w:t>
      </w:r>
      <w:proofErr w:type="spellEnd"/>
      <w:r>
        <w:t xml:space="preserve">.  </w:t>
      </w:r>
    </w:p>
    <w:p w14:paraId="7E3F3A28" w14:textId="77777777" w:rsidR="00BD2E78" w:rsidRDefault="005D0A65" w:rsidP="00FD56D9">
      <w:pPr>
        <w:pStyle w:val="ListParagraph"/>
        <w:numPr>
          <w:ilvl w:val="0"/>
          <w:numId w:val="8"/>
        </w:numPr>
      </w:pPr>
      <w:r>
        <w:t>It is w</w:t>
      </w:r>
      <w:r w:rsidR="008E5549">
        <w:t xml:space="preserve">orth noting that </w:t>
      </w:r>
      <w:r>
        <w:t xml:space="preserve">a </w:t>
      </w:r>
      <w:r w:rsidR="008E5549">
        <w:t xml:space="preserve">greater proportion of podiatrists are able to work in private practice, so could be more easily enticed to </w:t>
      </w:r>
      <w:r>
        <w:t xml:space="preserve">the </w:t>
      </w:r>
      <w:r w:rsidR="008E5549">
        <w:t xml:space="preserve">stability of NHS positions if these were attractively promoted; however, </w:t>
      </w:r>
      <w:r>
        <w:t xml:space="preserve">they have a </w:t>
      </w:r>
      <w:r w:rsidR="008E5549">
        <w:t xml:space="preserve">narrower scope of practice than other AHP professions </w:t>
      </w:r>
      <w:r w:rsidR="00BD2E78">
        <w:t xml:space="preserve">which </w:t>
      </w:r>
      <w:r w:rsidR="008E5549">
        <w:t xml:space="preserve">limits potential to free up GP time.  </w:t>
      </w:r>
    </w:p>
    <w:p w14:paraId="19F264C9" w14:textId="6B327727" w:rsidR="008E5549" w:rsidRDefault="00BD2E78" w:rsidP="00FD56D9">
      <w:pPr>
        <w:pStyle w:val="ListParagraph"/>
        <w:numPr>
          <w:ilvl w:val="0"/>
          <w:numId w:val="8"/>
        </w:numPr>
      </w:pPr>
      <w:r>
        <w:t>Within</w:t>
      </w:r>
      <w:r w:rsidR="008E5549">
        <w:t xml:space="preserve"> their scope of practice</w:t>
      </w:r>
      <w:r>
        <w:t>, there is good potential</w:t>
      </w:r>
      <w:r w:rsidR="008E5549">
        <w:t xml:space="preserve"> to free up GP time – diabetic foot health, etc.  </w:t>
      </w:r>
      <w:r>
        <w:t>and it would be w</w:t>
      </w:r>
      <w:r w:rsidR="008E5549">
        <w:t xml:space="preserve">orth liaising with their body equivalent to CSP/RCOT </w:t>
      </w:r>
      <w:r w:rsidR="0005568E">
        <w:t>to fully determine their capabilities and potential in this regard.</w:t>
      </w:r>
    </w:p>
    <w:p w14:paraId="0A120F07" w14:textId="0161D67A" w:rsidR="0005568E" w:rsidRDefault="0005568E" w:rsidP="0005568E"/>
    <w:p w14:paraId="216DA7D1" w14:textId="06CBB7D3" w:rsidR="0005568E" w:rsidRDefault="0005568E" w:rsidP="0005568E"/>
    <w:p w14:paraId="5057CFCA" w14:textId="77777777" w:rsidR="0005568E" w:rsidRPr="008E5549" w:rsidRDefault="0005568E" w:rsidP="0005568E"/>
    <w:p w14:paraId="3797E089" w14:textId="4A8481F1" w:rsidR="00BE4CE8" w:rsidRDefault="00BE4CE8">
      <w:pPr>
        <w:rPr>
          <w:u w:val="single"/>
        </w:rPr>
      </w:pPr>
      <w:r>
        <w:rPr>
          <w:u w:val="single"/>
        </w:rPr>
        <w:t>H&amp;WB Coaches</w:t>
      </w:r>
      <w:r w:rsidR="00B90C55">
        <w:rPr>
          <w:u w:val="single"/>
        </w:rPr>
        <w:t xml:space="preserve"> and Care Coordinators</w:t>
      </w:r>
      <w:r>
        <w:rPr>
          <w:u w:val="single"/>
        </w:rPr>
        <w:t>:</w:t>
      </w:r>
    </w:p>
    <w:p w14:paraId="145FAE4B" w14:textId="77777777" w:rsidR="00F37BAA" w:rsidRDefault="008E5549" w:rsidP="0005568E">
      <w:pPr>
        <w:pStyle w:val="ListParagraph"/>
        <w:numPr>
          <w:ilvl w:val="0"/>
          <w:numId w:val="9"/>
        </w:numPr>
      </w:pPr>
      <w:proofErr w:type="gramStart"/>
      <w:r>
        <w:t>Similar to</w:t>
      </w:r>
      <w:proofErr w:type="gramEnd"/>
      <w:r>
        <w:t xml:space="preserve"> SPLWs, </w:t>
      </w:r>
      <w:r w:rsidR="0005568E">
        <w:t xml:space="preserve">there is a </w:t>
      </w:r>
      <w:r>
        <w:t xml:space="preserve">potentially large supply, but </w:t>
      </w:r>
      <w:r w:rsidR="0005568E">
        <w:t xml:space="preserve">this </w:t>
      </w:r>
      <w:r>
        <w:t xml:space="preserve">will be limited if training </w:t>
      </w:r>
      <w:r w:rsidR="00F37BAA">
        <w:t xml:space="preserve">is </w:t>
      </w:r>
      <w:r>
        <w:t xml:space="preserve">required in advance of recruitment.  </w:t>
      </w:r>
    </w:p>
    <w:p w14:paraId="7674C8D7" w14:textId="77777777" w:rsidR="00F37BAA" w:rsidRDefault="008E5549" w:rsidP="0005568E">
      <w:pPr>
        <w:pStyle w:val="ListParagraph"/>
        <w:numPr>
          <w:ilvl w:val="0"/>
          <w:numId w:val="9"/>
        </w:numPr>
      </w:pPr>
      <w:r>
        <w:t xml:space="preserve">Can the practices support trainees adequately?  Is there sufficient access to training?  </w:t>
      </w:r>
    </w:p>
    <w:p w14:paraId="20465E6F" w14:textId="77777777" w:rsidR="00F37BAA" w:rsidRDefault="008E5549" w:rsidP="0005568E">
      <w:pPr>
        <w:pStyle w:val="ListParagraph"/>
        <w:numPr>
          <w:ilvl w:val="0"/>
          <w:numId w:val="9"/>
        </w:numPr>
      </w:pPr>
      <w:r>
        <w:t xml:space="preserve">These could work well for specific conditions/population profiles, e.g. public health programmes, such as weight loss support, in conjunction with dietitians.  </w:t>
      </w:r>
    </w:p>
    <w:p w14:paraId="3E955C6F" w14:textId="77777777" w:rsidR="00F37BAA" w:rsidRDefault="008E5549" w:rsidP="0005568E">
      <w:pPr>
        <w:pStyle w:val="ListParagraph"/>
        <w:numPr>
          <w:ilvl w:val="0"/>
          <w:numId w:val="9"/>
        </w:numPr>
      </w:pPr>
      <w:r>
        <w:t xml:space="preserve">Need to consider clinical supervision.  Again, may appeal to those seeking stable employment, but may be faster turnover due to limited development opportunities, or progression into other H&amp;SC careers.  </w:t>
      </w:r>
    </w:p>
    <w:p w14:paraId="5F0BC086" w14:textId="0307ED90" w:rsidR="008E5549" w:rsidRDefault="008E5549" w:rsidP="0005568E">
      <w:pPr>
        <w:pStyle w:val="ListParagraph"/>
        <w:numPr>
          <w:ilvl w:val="0"/>
          <w:numId w:val="9"/>
        </w:numPr>
      </w:pPr>
      <w:r>
        <w:t xml:space="preserve">Do the PCNs fully understand the scope of these roles? </w:t>
      </w:r>
    </w:p>
    <w:p w14:paraId="62315B9E" w14:textId="68861798" w:rsidR="00F37BAA" w:rsidRDefault="00F37BAA" w:rsidP="00F37BAA"/>
    <w:p w14:paraId="3E58EB4B" w14:textId="77777777" w:rsidR="00BE4CE8" w:rsidRDefault="00BE4CE8"/>
    <w:sectPr w:rsidR="00BE4CE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35ECF" w14:textId="77777777" w:rsidR="006E6CDA" w:rsidRDefault="006E6CDA" w:rsidP="00404923">
      <w:pPr>
        <w:spacing w:after="0" w:line="240" w:lineRule="auto"/>
      </w:pPr>
      <w:r>
        <w:separator/>
      </w:r>
    </w:p>
  </w:endnote>
  <w:endnote w:type="continuationSeparator" w:id="0">
    <w:p w14:paraId="19944CBA" w14:textId="77777777" w:rsidR="006E6CDA" w:rsidRDefault="006E6CDA" w:rsidP="0040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BEAD1" w14:textId="77777777" w:rsidR="00404923" w:rsidRDefault="00404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EA4C7" w14:textId="77777777" w:rsidR="00404923" w:rsidRDefault="00404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FE6EC" w14:textId="77777777" w:rsidR="00404923" w:rsidRDefault="00404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6842F" w14:textId="77777777" w:rsidR="006E6CDA" w:rsidRDefault="006E6CDA" w:rsidP="00404923">
      <w:pPr>
        <w:spacing w:after="0" w:line="240" w:lineRule="auto"/>
      </w:pPr>
      <w:r>
        <w:separator/>
      </w:r>
    </w:p>
  </w:footnote>
  <w:footnote w:type="continuationSeparator" w:id="0">
    <w:p w14:paraId="2EC8F510" w14:textId="77777777" w:rsidR="006E6CDA" w:rsidRDefault="006E6CDA" w:rsidP="0040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8B998" w14:textId="77777777" w:rsidR="00404923" w:rsidRDefault="00404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7093215"/>
      <w:docPartObj>
        <w:docPartGallery w:val="Watermarks"/>
        <w:docPartUnique/>
      </w:docPartObj>
    </w:sdtPr>
    <w:sdtEndPr/>
    <w:sdtContent>
      <w:p w14:paraId="0E03496F" w14:textId="2AE2EA92" w:rsidR="00404923" w:rsidRDefault="006E6CDA">
        <w:pPr>
          <w:pStyle w:val="Header"/>
        </w:pPr>
        <w:r>
          <w:rPr>
            <w:noProof/>
          </w:rPr>
          <w:pict w14:anchorId="51BAA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61641" w14:textId="77777777" w:rsidR="00404923" w:rsidRDefault="00404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C7F3D"/>
    <w:multiLevelType w:val="hybridMultilevel"/>
    <w:tmpl w:val="37AE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345C83"/>
    <w:multiLevelType w:val="hybridMultilevel"/>
    <w:tmpl w:val="CECA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C92CA9"/>
    <w:multiLevelType w:val="hybridMultilevel"/>
    <w:tmpl w:val="0116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A3898"/>
    <w:multiLevelType w:val="hybridMultilevel"/>
    <w:tmpl w:val="A6D8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81675"/>
    <w:multiLevelType w:val="hybridMultilevel"/>
    <w:tmpl w:val="96561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B81561"/>
    <w:multiLevelType w:val="hybridMultilevel"/>
    <w:tmpl w:val="A4E4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DC7F46"/>
    <w:multiLevelType w:val="hybridMultilevel"/>
    <w:tmpl w:val="B0DC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43C56"/>
    <w:multiLevelType w:val="hybridMultilevel"/>
    <w:tmpl w:val="F67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030B0F"/>
    <w:multiLevelType w:val="hybridMultilevel"/>
    <w:tmpl w:val="E05E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D4056E"/>
    <w:multiLevelType w:val="hybridMultilevel"/>
    <w:tmpl w:val="0C8E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8"/>
  </w:num>
  <w:num w:numId="6">
    <w:abstractNumId w:val="5"/>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67"/>
    <w:rsid w:val="00006CC8"/>
    <w:rsid w:val="00006F3E"/>
    <w:rsid w:val="00020A65"/>
    <w:rsid w:val="000463EA"/>
    <w:rsid w:val="0005568E"/>
    <w:rsid w:val="000D49F1"/>
    <w:rsid w:val="000E0FDA"/>
    <w:rsid w:val="001414E3"/>
    <w:rsid w:val="00156000"/>
    <w:rsid w:val="00162F67"/>
    <w:rsid w:val="001F7388"/>
    <w:rsid w:val="00235086"/>
    <w:rsid w:val="00287C48"/>
    <w:rsid w:val="002B09EB"/>
    <w:rsid w:val="002C3B89"/>
    <w:rsid w:val="002E6C6D"/>
    <w:rsid w:val="0030464C"/>
    <w:rsid w:val="00404923"/>
    <w:rsid w:val="004775BD"/>
    <w:rsid w:val="0057350C"/>
    <w:rsid w:val="005B2483"/>
    <w:rsid w:val="005D0A65"/>
    <w:rsid w:val="00606C6A"/>
    <w:rsid w:val="00611EFB"/>
    <w:rsid w:val="00620C8D"/>
    <w:rsid w:val="0069655A"/>
    <w:rsid w:val="006B5A83"/>
    <w:rsid w:val="006E6CDA"/>
    <w:rsid w:val="0070598A"/>
    <w:rsid w:val="007239CB"/>
    <w:rsid w:val="00762F18"/>
    <w:rsid w:val="007813BD"/>
    <w:rsid w:val="007A24D5"/>
    <w:rsid w:val="007A6B7C"/>
    <w:rsid w:val="00815201"/>
    <w:rsid w:val="008179E6"/>
    <w:rsid w:val="008E480A"/>
    <w:rsid w:val="008E5549"/>
    <w:rsid w:val="009B50FB"/>
    <w:rsid w:val="009C6260"/>
    <w:rsid w:val="009E6EB0"/>
    <w:rsid w:val="009F213A"/>
    <w:rsid w:val="009F675F"/>
    <w:rsid w:val="00A61DF0"/>
    <w:rsid w:val="00AE6582"/>
    <w:rsid w:val="00B45317"/>
    <w:rsid w:val="00B62B01"/>
    <w:rsid w:val="00B8247D"/>
    <w:rsid w:val="00B90C55"/>
    <w:rsid w:val="00BD2E78"/>
    <w:rsid w:val="00BE4CE8"/>
    <w:rsid w:val="00BF2C9F"/>
    <w:rsid w:val="00C85477"/>
    <w:rsid w:val="00CB7CA7"/>
    <w:rsid w:val="00D01667"/>
    <w:rsid w:val="00D30A4D"/>
    <w:rsid w:val="00D6419C"/>
    <w:rsid w:val="00D706CD"/>
    <w:rsid w:val="00D84DCC"/>
    <w:rsid w:val="00DD1E7E"/>
    <w:rsid w:val="00DE4768"/>
    <w:rsid w:val="00DF06D7"/>
    <w:rsid w:val="00E2415A"/>
    <w:rsid w:val="00E46C8D"/>
    <w:rsid w:val="00E50996"/>
    <w:rsid w:val="00E71EBE"/>
    <w:rsid w:val="00EB3754"/>
    <w:rsid w:val="00F008E3"/>
    <w:rsid w:val="00F37BAA"/>
    <w:rsid w:val="00F62D60"/>
    <w:rsid w:val="00FA64D7"/>
    <w:rsid w:val="00FD5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575168"/>
  <w15:chartTrackingRefBased/>
  <w15:docId w15:val="{24C0AC0C-3A2F-47F5-9C1A-AAC84614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317"/>
    <w:rPr>
      <w:color w:val="0563C1" w:themeColor="hyperlink"/>
      <w:u w:val="single"/>
    </w:rPr>
  </w:style>
  <w:style w:type="character" w:styleId="UnresolvedMention">
    <w:name w:val="Unresolved Mention"/>
    <w:basedOn w:val="DefaultParagraphFont"/>
    <w:uiPriority w:val="99"/>
    <w:semiHidden/>
    <w:unhideWhenUsed/>
    <w:rsid w:val="00B45317"/>
    <w:rPr>
      <w:color w:val="605E5C"/>
      <w:shd w:val="clear" w:color="auto" w:fill="E1DFDD"/>
    </w:rPr>
  </w:style>
  <w:style w:type="paragraph" w:styleId="Header">
    <w:name w:val="header"/>
    <w:basedOn w:val="Normal"/>
    <w:link w:val="HeaderChar"/>
    <w:uiPriority w:val="99"/>
    <w:unhideWhenUsed/>
    <w:rsid w:val="0040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923"/>
  </w:style>
  <w:style w:type="paragraph" w:styleId="Footer">
    <w:name w:val="footer"/>
    <w:basedOn w:val="Normal"/>
    <w:link w:val="FooterChar"/>
    <w:uiPriority w:val="99"/>
    <w:unhideWhenUsed/>
    <w:rsid w:val="00404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923"/>
  </w:style>
  <w:style w:type="paragraph" w:styleId="ListParagraph">
    <w:name w:val="List Paragraph"/>
    <w:basedOn w:val="Normal"/>
    <w:uiPriority w:val="34"/>
    <w:qFormat/>
    <w:rsid w:val="00620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nfc.nice.org.uk/guidance/non-medical-prescribing.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0A8D76E3D42C46A8FA461C1AAF9565" ma:contentTypeVersion="12" ma:contentTypeDescription="Create a new document." ma:contentTypeScope="" ma:versionID="bd029ae527e31cd212029b87e7395b38">
  <xsd:schema xmlns:xsd="http://www.w3.org/2001/XMLSchema" xmlns:xs="http://www.w3.org/2001/XMLSchema" xmlns:p="http://schemas.microsoft.com/office/2006/metadata/properties" xmlns:ns2="49b40b59-b3c4-41fc-857f-9f1632628cca" xmlns:ns3="0b246be7-fe4a-4442-b37a-e696c52f782b" targetNamespace="http://schemas.microsoft.com/office/2006/metadata/properties" ma:root="true" ma:fieldsID="eff7b9042270a36a341841ece5aea09d" ns2:_="" ns3:_="">
    <xsd:import namespace="49b40b59-b3c4-41fc-857f-9f1632628cca"/>
    <xsd:import namespace="0b246be7-fe4a-4442-b37a-e696c52f78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0b59-b3c4-41fc-857f-9f1632628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246be7-fe4a-4442-b37a-e696c52f78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6575A-BC87-4408-8992-3699A5488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9D2490-FB18-4278-8537-AA291031F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0b59-b3c4-41fc-857f-9f1632628cca"/>
    <ds:schemaRef ds:uri="0b246be7-fe4a-4442-b37a-e696c52f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2777F-04A4-4CA0-BCFE-517E748DE620}">
  <ds:schemaRefs>
    <ds:schemaRef ds:uri="http://schemas.microsoft.com/sharepoint/v3/contenttype/forms"/>
  </ds:schemaRefs>
</ds:datastoreItem>
</file>

<file path=customXml/itemProps4.xml><?xml version="1.0" encoding="utf-8"?>
<ds:datastoreItem xmlns:ds="http://schemas.openxmlformats.org/officeDocument/2006/customXml" ds:itemID="{C899D0F2-4AD2-40B5-8BAD-53FE7B79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Health Education England</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Lacey</dc:creator>
  <cp:keywords/>
  <dc:description/>
  <cp:lastModifiedBy>Neena Shah</cp:lastModifiedBy>
  <cp:revision>2</cp:revision>
  <dcterms:created xsi:type="dcterms:W3CDTF">2020-10-19T12:42:00Z</dcterms:created>
  <dcterms:modified xsi:type="dcterms:W3CDTF">2020-10-19T12:42:00Z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0x010100B90A8D76E3D42C46A8FA461C1AAF9565</vt:lpwstr>
  </property>
</Properties>
</file>