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EF" w:rsidRDefault="00B43C6D" w:rsidP="00CE3FD4">
      <w:pPr>
        <w:pStyle w:val="Transforming-body"/>
        <w:rPr>
          <w:noProof/>
          <w:lang w:eastAsia="en-GB"/>
        </w:rPr>
      </w:pPr>
      <w:r w:rsidRPr="00CE3FD4">
        <w:rPr>
          <w:noProof/>
          <w:lang w:eastAsia="en-GB"/>
        </w:rPr>
        <w:drawing>
          <wp:inline distT="0" distB="0" distL="0" distR="0" wp14:anchorId="22AAA787" wp14:editId="07E9B04D">
            <wp:extent cx="2196935" cy="54923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 logo light blue 2 lin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8160" cy="549540"/>
                    </a:xfrm>
                    <a:prstGeom prst="rect">
                      <a:avLst/>
                    </a:prstGeom>
                  </pic:spPr>
                </pic:pic>
              </a:graphicData>
            </a:graphic>
          </wp:inline>
        </w:drawing>
      </w:r>
    </w:p>
    <w:p w:rsidR="005413AD" w:rsidRDefault="00512FF4" w:rsidP="005413AD">
      <w:pPr>
        <w:pStyle w:val="Title"/>
      </w:pPr>
      <w:r>
        <w:t>Workforce Modelling Tool</w:t>
      </w:r>
    </w:p>
    <w:p w:rsidR="00512FF4" w:rsidRPr="002959FD" w:rsidRDefault="00512FF4" w:rsidP="00512FF4">
      <w:pPr>
        <w:pStyle w:val="Subtitle"/>
        <w:rPr>
          <w:sz w:val="36"/>
        </w:rPr>
      </w:pPr>
      <w:r w:rsidRPr="002959FD">
        <w:rPr>
          <w:sz w:val="36"/>
        </w:rPr>
        <w:t>Collaboratively developed by H</w:t>
      </w:r>
      <w:r w:rsidR="002959FD" w:rsidRPr="002959FD">
        <w:rPr>
          <w:sz w:val="36"/>
        </w:rPr>
        <w:t xml:space="preserve">ealthy </w:t>
      </w:r>
      <w:r w:rsidRPr="002959FD">
        <w:rPr>
          <w:sz w:val="36"/>
        </w:rPr>
        <w:t>L</w:t>
      </w:r>
      <w:r w:rsidR="002959FD" w:rsidRPr="002959FD">
        <w:rPr>
          <w:sz w:val="36"/>
        </w:rPr>
        <w:t xml:space="preserve">ondon </w:t>
      </w:r>
      <w:r w:rsidRPr="002959FD">
        <w:rPr>
          <w:sz w:val="36"/>
        </w:rPr>
        <w:t>P</w:t>
      </w:r>
      <w:r w:rsidR="002959FD" w:rsidRPr="002959FD">
        <w:rPr>
          <w:sz w:val="36"/>
        </w:rPr>
        <w:t>artnership</w:t>
      </w:r>
      <w:r w:rsidRPr="002959FD">
        <w:rPr>
          <w:sz w:val="36"/>
        </w:rPr>
        <w:t>, H</w:t>
      </w:r>
      <w:r w:rsidR="002959FD" w:rsidRPr="002959FD">
        <w:rPr>
          <w:sz w:val="36"/>
        </w:rPr>
        <w:t xml:space="preserve">ealth </w:t>
      </w:r>
      <w:r w:rsidRPr="002959FD">
        <w:rPr>
          <w:sz w:val="36"/>
        </w:rPr>
        <w:t>E</w:t>
      </w:r>
      <w:r w:rsidR="002959FD" w:rsidRPr="002959FD">
        <w:rPr>
          <w:sz w:val="36"/>
        </w:rPr>
        <w:t xml:space="preserve">ducation </w:t>
      </w:r>
      <w:r w:rsidRPr="002959FD">
        <w:rPr>
          <w:sz w:val="36"/>
        </w:rPr>
        <w:t>E</w:t>
      </w:r>
      <w:r w:rsidR="002959FD" w:rsidRPr="002959FD">
        <w:rPr>
          <w:sz w:val="36"/>
        </w:rPr>
        <w:t>ngland</w:t>
      </w:r>
      <w:r w:rsidRPr="002959FD">
        <w:rPr>
          <w:sz w:val="36"/>
        </w:rPr>
        <w:t>, and S</w:t>
      </w:r>
      <w:r w:rsidR="002959FD" w:rsidRPr="002959FD">
        <w:rPr>
          <w:sz w:val="36"/>
        </w:rPr>
        <w:t xml:space="preserve">ustainability and </w:t>
      </w:r>
      <w:r w:rsidRPr="002959FD">
        <w:rPr>
          <w:sz w:val="36"/>
        </w:rPr>
        <w:t>T</w:t>
      </w:r>
      <w:r w:rsidR="002959FD" w:rsidRPr="002959FD">
        <w:rPr>
          <w:sz w:val="36"/>
        </w:rPr>
        <w:t xml:space="preserve">ransformation </w:t>
      </w:r>
      <w:r w:rsidRPr="002959FD">
        <w:rPr>
          <w:sz w:val="36"/>
        </w:rPr>
        <w:t>P</w:t>
      </w:r>
      <w:r w:rsidR="002959FD" w:rsidRPr="002959FD">
        <w:rPr>
          <w:sz w:val="36"/>
        </w:rPr>
        <w:t>artner</w:t>
      </w:r>
      <w:r w:rsidRPr="002959FD">
        <w:rPr>
          <w:sz w:val="36"/>
        </w:rPr>
        <w:t>s</w:t>
      </w:r>
      <w:r w:rsidR="002959FD" w:rsidRPr="002959FD">
        <w:rPr>
          <w:sz w:val="36"/>
        </w:rPr>
        <w:t>hips</w:t>
      </w:r>
      <w:r w:rsidRPr="002959FD">
        <w:rPr>
          <w:sz w:val="36"/>
        </w:rPr>
        <w:t xml:space="preserve"> in London</w:t>
      </w:r>
    </w:p>
    <w:p w:rsidR="005413AD" w:rsidRDefault="00FE288A" w:rsidP="005413AD">
      <w:pPr>
        <w:pStyle w:val="Heading1"/>
      </w:pPr>
      <w:r>
        <w:t>Background</w:t>
      </w:r>
      <w:r w:rsidR="005413AD">
        <w:tab/>
      </w:r>
    </w:p>
    <w:p w:rsidR="00C00AC1" w:rsidRPr="006E4101" w:rsidRDefault="00B22BA6" w:rsidP="00C00AC1">
      <w:proofErr w:type="gramStart"/>
      <w:r w:rsidRPr="006E4101">
        <w:t>The G</w:t>
      </w:r>
      <w:r w:rsidR="006E4101">
        <w:t xml:space="preserve">eneral </w:t>
      </w:r>
      <w:r w:rsidRPr="006E4101">
        <w:t>P</w:t>
      </w:r>
      <w:r w:rsidR="006E4101">
        <w:t>ractice</w:t>
      </w:r>
      <w:r w:rsidR="00733D88" w:rsidRPr="006E4101">
        <w:t xml:space="preserve"> </w:t>
      </w:r>
      <w:r w:rsidRPr="006E4101">
        <w:t>F</w:t>
      </w:r>
      <w:r w:rsidR="00733D88" w:rsidRPr="006E4101">
        <w:t xml:space="preserve">orward </w:t>
      </w:r>
      <w:r w:rsidRPr="006E4101">
        <w:t>V</w:t>
      </w:r>
      <w:r w:rsidR="00733D88" w:rsidRPr="006E4101">
        <w:t>iew</w:t>
      </w:r>
      <w:r w:rsidRPr="006E4101">
        <w:t xml:space="preserve"> and the F</w:t>
      </w:r>
      <w:r w:rsidR="00733D88" w:rsidRPr="006E4101">
        <w:t xml:space="preserve">ive </w:t>
      </w:r>
      <w:r w:rsidRPr="006E4101">
        <w:t>Y</w:t>
      </w:r>
      <w:r w:rsidR="00733D88" w:rsidRPr="006E4101">
        <w:t xml:space="preserve">ear </w:t>
      </w:r>
      <w:r w:rsidRPr="006E4101">
        <w:t>F</w:t>
      </w:r>
      <w:r w:rsidR="00733D88" w:rsidRPr="006E4101">
        <w:t xml:space="preserve">orward </w:t>
      </w:r>
      <w:r w:rsidRPr="006E4101">
        <w:t>V</w:t>
      </w:r>
      <w:r w:rsidR="00733D88" w:rsidRPr="006E4101">
        <w:t>iew</w:t>
      </w:r>
      <w:r w:rsidRPr="006E4101">
        <w:t xml:space="preserve"> sets out the need to transform Primary Care through stabilising and sustaining General Practice</w:t>
      </w:r>
      <w:r w:rsidR="00CC4890" w:rsidRPr="006E4101">
        <w:t>s</w:t>
      </w:r>
      <w:r w:rsidRPr="006E4101">
        <w:t xml:space="preserve"> in England.</w:t>
      </w:r>
      <w:proofErr w:type="gramEnd"/>
      <w:r w:rsidRPr="006E4101">
        <w:t xml:space="preserve"> </w:t>
      </w:r>
      <w:r w:rsidR="00C00AC1" w:rsidRPr="006E4101">
        <w:t>It is widely acknowledged that workforce is one of the key challenges in achieving the transformation of General Practice and Primary Care.  ‘Workforce’ is not a singular but a mu</w:t>
      </w:r>
      <w:r w:rsidR="00C66473">
        <w:t>lti-facetted set of challenges; a</w:t>
      </w:r>
      <w:r w:rsidR="00C00AC1" w:rsidRPr="006E4101">
        <w:t>t the core is the supply of enough appropriately trained and ed</w:t>
      </w:r>
      <w:r w:rsidR="00C66473">
        <w:t>ucated healthcare professionals. H</w:t>
      </w:r>
      <w:r w:rsidR="00C00AC1" w:rsidRPr="006E4101">
        <w:t>owever</w:t>
      </w:r>
      <w:r w:rsidR="00C66473">
        <w:t>,</w:t>
      </w:r>
      <w:r w:rsidR="00C00AC1" w:rsidRPr="006E4101">
        <w:t xml:space="preserve"> focussing only on supply will not fully address the multiplicity of related challenges. </w:t>
      </w:r>
      <w:r w:rsidR="00C66473">
        <w:t>Other q</w:t>
      </w:r>
      <w:r w:rsidR="00C00AC1" w:rsidRPr="006E4101">
        <w:t xml:space="preserve">uestions that need to be </w:t>
      </w:r>
      <w:r w:rsidR="00C66473">
        <w:t>considered are</w:t>
      </w:r>
      <w:r w:rsidR="00C00AC1" w:rsidRPr="006E4101">
        <w:t xml:space="preserve">: </w:t>
      </w:r>
    </w:p>
    <w:p w:rsidR="00C00AC1" w:rsidRPr="006E4101" w:rsidRDefault="00C00AC1" w:rsidP="00775A82">
      <w:pPr>
        <w:pStyle w:val="ListParagraph"/>
        <w:numPr>
          <w:ilvl w:val="0"/>
          <w:numId w:val="23"/>
        </w:numPr>
        <w:rPr>
          <w:i/>
        </w:rPr>
      </w:pPr>
      <w:r w:rsidRPr="006E4101">
        <w:rPr>
          <w:i/>
        </w:rPr>
        <w:t>How do we quantify the most effective balance of Primary Care resources going forward?</w:t>
      </w:r>
    </w:p>
    <w:p w:rsidR="00C00AC1" w:rsidRPr="006E4101" w:rsidRDefault="00C00AC1" w:rsidP="00775A82">
      <w:pPr>
        <w:pStyle w:val="ListParagraph"/>
        <w:numPr>
          <w:ilvl w:val="0"/>
          <w:numId w:val="23"/>
        </w:numPr>
        <w:rPr>
          <w:i/>
        </w:rPr>
      </w:pPr>
      <w:r w:rsidRPr="006E4101">
        <w:rPr>
          <w:i/>
        </w:rPr>
        <w:t>What do we mean my multi-professional working – how could this help to meet the changing needs of the population in the 21st Century?</w:t>
      </w:r>
    </w:p>
    <w:p w:rsidR="00C00AC1" w:rsidRPr="006E4101" w:rsidRDefault="00C00AC1" w:rsidP="00775A82">
      <w:pPr>
        <w:pStyle w:val="ListParagraph"/>
        <w:numPr>
          <w:ilvl w:val="0"/>
          <w:numId w:val="23"/>
        </w:numPr>
        <w:rPr>
          <w:i/>
        </w:rPr>
      </w:pPr>
      <w:r w:rsidRPr="006E4101">
        <w:rPr>
          <w:i/>
        </w:rPr>
        <w:t xml:space="preserve">What are the new ways in which professionals are expected to work? </w:t>
      </w:r>
    </w:p>
    <w:p w:rsidR="00C00AC1" w:rsidRPr="006E4101" w:rsidRDefault="00C00AC1" w:rsidP="00775A82">
      <w:pPr>
        <w:pStyle w:val="ListParagraph"/>
        <w:numPr>
          <w:ilvl w:val="0"/>
          <w:numId w:val="23"/>
        </w:numPr>
        <w:rPr>
          <w:i/>
        </w:rPr>
      </w:pPr>
      <w:r w:rsidRPr="006E4101">
        <w:rPr>
          <w:i/>
        </w:rPr>
        <w:t xml:space="preserve">What </w:t>
      </w:r>
      <w:proofErr w:type="gramStart"/>
      <w:r w:rsidRPr="006E4101">
        <w:rPr>
          <w:i/>
        </w:rPr>
        <w:t>are the employment</w:t>
      </w:r>
      <w:proofErr w:type="gramEnd"/>
      <w:r w:rsidRPr="006E4101">
        <w:rPr>
          <w:i/>
        </w:rPr>
        <w:t xml:space="preserve"> models in General Practice that will enable professionals to work effectively and affordably in these new ways? </w:t>
      </w:r>
    </w:p>
    <w:p w:rsidR="00C00AC1" w:rsidRPr="006E4101" w:rsidRDefault="00C00AC1" w:rsidP="00775A82">
      <w:pPr>
        <w:pStyle w:val="ListParagraph"/>
        <w:numPr>
          <w:ilvl w:val="0"/>
          <w:numId w:val="23"/>
        </w:numPr>
        <w:rPr>
          <w:i/>
        </w:rPr>
      </w:pPr>
      <w:r w:rsidRPr="006E4101">
        <w:rPr>
          <w:i/>
        </w:rPr>
        <w:t>Who will employ staff – individual practices, networks / localities, federations?</w:t>
      </w:r>
    </w:p>
    <w:p w:rsidR="00C00AC1" w:rsidRPr="006E4101" w:rsidRDefault="00C00AC1" w:rsidP="00775A82">
      <w:pPr>
        <w:pStyle w:val="ListParagraph"/>
        <w:numPr>
          <w:ilvl w:val="0"/>
          <w:numId w:val="23"/>
        </w:numPr>
        <w:rPr>
          <w:i/>
        </w:rPr>
      </w:pPr>
      <w:r w:rsidRPr="006E4101">
        <w:rPr>
          <w:i/>
        </w:rPr>
        <w:t>How will this be affordable?</w:t>
      </w:r>
    </w:p>
    <w:p w:rsidR="00C00AC1" w:rsidRPr="006E4101" w:rsidRDefault="00C00AC1" w:rsidP="00775A82">
      <w:pPr>
        <w:pStyle w:val="ListParagraph"/>
        <w:numPr>
          <w:ilvl w:val="0"/>
          <w:numId w:val="23"/>
        </w:numPr>
        <w:rPr>
          <w:i/>
        </w:rPr>
      </w:pPr>
      <w:r w:rsidRPr="006E4101">
        <w:rPr>
          <w:i/>
        </w:rPr>
        <w:t>How do we tackle the challenges of rising indemnity costs?  (‘the greater the degree of innovation and potential risk, the greater the potential costs of indemnifying against this risk’)</w:t>
      </w:r>
    </w:p>
    <w:p w:rsidR="00C00AC1" w:rsidRPr="006E4101" w:rsidRDefault="00C00AC1" w:rsidP="00775A82">
      <w:pPr>
        <w:pStyle w:val="ListParagraph"/>
        <w:numPr>
          <w:ilvl w:val="0"/>
          <w:numId w:val="23"/>
        </w:numPr>
        <w:rPr>
          <w:i/>
        </w:rPr>
      </w:pPr>
      <w:r w:rsidRPr="006E4101">
        <w:rPr>
          <w:i/>
        </w:rPr>
        <w:t>How will new technologies affect the way that we need professionals to work?</w:t>
      </w:r>
    </w:p>
    <w:p w:rsidR="00C00AC1" w:rsidRDefault="00C00AC1" w:rsidP="00775A82">
      <w:pPr>
        <w:pStyle w:val="ListParagraph"/>
        <w:numPr>
          <w:ilvl w:val="0"/>
          <w:numId w:val="23"/>
        </w:numPr>
        <w:rPr>
          <w:i/>
        </w:rPr>
      </w:pPr>
      <w:r w:rsidRPr="006E4101">
        <w:rPr>
          <w:i/>
        </w:rPr>
        <w:t>What role do we want / expect/ need ‘hospital’ based clinicians to play in Primary Care – how does this impact on the core Primary Care roles?</w:t>
      </w:r>
    </w:p>
    <w:p w:rsidR="00D3080D" w:rsidRPr="006E4101" w:rsidRDefault="00D3080D" w:rsidP="00775A82">
      <w:pPr>
        <w:pStyle w:val="ListParagraph"/>
        <w:numPr>
          <w:ilvl w:val="0"/>
          <w:numId w:val="23"/>
        </w:numPr>
        <w:rPr>
          <w:i/>
        </w:rPr>
      </w:pPr>
      <w:r>
        <w:rPr>
          <w:i/>
        </w:rPr>
        <w:t>How can we include the value of workforce wellbeing as a measure?</w:t>
      </w:r>
      <w:bookmarkStart w:id="0" w:name="_GoBack"/>
      <w:bookmarkEnd w:id="0"/>
    </w:p>
    <w:p w:rsidR="00775A82" w:rsidRPr="006E4101" w:rsidRDefault="00775A82" w:rsidP="00775A82">
      <w:r w:rsidRPr="006E4101">
        <w:t>In addition</w:t>
      </w:r>
      <w:r w:rsidR="00957348">
        <w:t>,</w:t>
      </w:r>
      <w:r w:rsidRPr="006E4101">
        <w:t xml:space="preserve"> it is important to understand how new ‘models of care’ such as Primary Care Home and MCP’s impact on the way that professionals work in Primary Care, and work with their colleagues in secondary care and social care, to</w:t>
      </w:r>
      <w:r w:rsidR="00C1770B" w:rsidRPr="006E4101">
        <w:t xml:space="preserve"> deliver patient centred care. </w:t>
      </w:r>
      <w:r w:rsidRPr="006E4101">
        <w:t>It is increasingly accepted that General Practice will need to work ‘at scale’ to meet the changing needs of the population. Within London there are a variety of approaches to this includ</w:t>
      </w:r>
      <w:r w:rsidR="00957348">
        <w:t xml:space="preserve">ing Federations, Local Networks, Localities, Quadrants, </w:t>
      </w:r>
      <w:proofErr w:type="gramStart"/>
      <w:r w:rsidRPr="006E4101">
        <w:t>CHINs</w:t>
      </w:r>
      <w:proofErr w:type="gramEnd"/>
      <w:r w:rsidR="00C1770B" w:rsidRPr="006E4101">
        <w:t xml:space="preserve"> etc.</w:t>
      </w:r>
    </w:p>
    <w:p w:rsidR="00957348" w:rsidRDefault="00957348">
      <w:pPr>
        <w:rPr>
          <w:b/>
          <w:color w:val="0072C6"/>
          <w:sz w:val="28"/>
          <w:szCs w:val="28"/>
        </w:rPr>
      </w:pPr>
      <w:r>
        <w:br w:type="page"/>
      </w:r>
    </w:p>
    <w:p w:rsidR="000E0476" w:rsidRDefault="00D231CF" w:rsidP="009E6E69">
      <w:pPr>
        <w:pStyle w:val="Heading1"/>
      </w:pPr>
      <w:r>
        <w:lastRenderedPageBreak/>
        <w:t>Building Blocks</w:t>
      </w:r>
    </w:p>
    <w:p w:rsidR="00D231CF" w:rsidRPr="006E4101" w:rsidRDefault="00D231CF" w:rsidP="00D231CF">
      <w:pPr>
        <w:pStyle w:val="Heading1"/>
        <w:rPr>
          <w:b w:val="0"/>
          <w:color w:val="auto"/>
          <w:sz w:val="22"/>
          <w:szCs w:val="22"/>
        </w:rPr>
      </w:pPr>
      <w:r w:rsidRPr="006E4101">
        <w:rPr>
          <w:b w:val="0"/>
          <w:color w:val="auto"/>
          <w:sz w:val="22"/>
          <w:szCs w:val="22"/>
        </w:rPr>
        <w:t>All areas of London have developed models to look at the workforce challenges relating to local service transformation and have developed different approaches to meet their local needs.</w:t>
      </w:r>
      <w:r w:rsidR="009E6E69" w:rsidRPr="006E4101">
        <w:rPr>
          <w:b w:val="0"/>
          <w:color w:val="auto"/>
          <w:sz w:val="22"/>
          <w:szCs w:val="22"/>
        </w:rPr>
        <w:t xml:space="preserve"> </w:t>
      </w:r>
      <w:r w:rsidRPr="006E4101">
        <w:rPr>
          <w:b w:val="0"/>
          <w:color w:val="auto"/>
          <w:sz w:val="22"/>
          <w:szCs w:val="22"/>
        </w:rPr>
        <w:t>Often this work has been done at the borough level and been led by commissioners</w:t>
      </w:r>
      <w:r w:rsidR="009E6E69" w:rsidRPr="006E4101">
        <w:rPr>
          <w:b w:val="0"/>
          <w:color w:val="auto"/>
          <w:sz w:val="22"/>
          <w:szCs w:val="22"/>
        </w:rPr>
        <w:t xml:space="preserve">. </w:t>
      </w:r>
      <w:r w:rsidRPr="006E4101">
        <w:rPr>
          <w:b w:val="0"/>
          <w:color w:val="auto"/>
          <w:sz w:val="22"/>
          <w:szCs w:val="22"/>
        </w:rPr>
        <w:t xml:space="preserve">A number of new approaches to service transformation are being developed </w:t>
      </w:r>
      <w:r w:rsidR="00964989">
        <w:rPr>
          <w:b w:val="0"/>
          <w:color w:val="auto"/>
          <w:sz w:val="22"/>
          <w:szCs w:val="22"/>
        </w:rPr>
        <w:t>(</w:t>
      </w:r>
      <w:r w:rsidRPr="006E4101">
        <w:rPr>
          <w:b w:val="0"/>
          <w:color w:val="auto"/>
          <w:sz w:val="22"/>
          <w:szCs w:val="22"/>
        </w:rPr>
        <w:t>e.g. Primary Care Home and local networks</w:t>
      </w:r>
      <w:r w:rsidR="00964989">
        <w:rPr>
          <w:b w:val="0"/>
          <w:color w:val="auto"/>
          <w:sz w:val="22"/>
          <w:szCs w:val="22"/>
        </w:rPr>
        <w:t>)</w:t>
      </w:r>
      <w:r w:rsidRPr="006E4101">
        <w:rPr>
          <w:b w:val="0"/>
          <w:color w:val="auto"/>
          <w:sz w:val="22"/>
          <w:szCs w:val="22"/>
        </w:rPr>
        <w:t>. A common challenge with implementing new ways of working across providers is ensuring that there is</w:t>
      </w:r>
      <w:r w:rsidR="009E6E69" w:rsidRPr="006E4101">
        <w:rPr>
          <w:b w:val="0"/>
          <w:color w:val="auto"/>
          <w:sz w:val="22"/>
          <w:szCs w:val="22"/>
        </w:rPr>
        <w:t xml:space="preserve"> the right supply of workforce </w:t>
      </w:r>
      <w:r w:rsidRPr="006E4101">
        <w:rPr>
          <w:b w:val="0"/>
          <w:color w:val="auto"/>
          <w:sz w:val="22"/>
          <w:szCs w:val="22"/>
        </w:rPr>
        <w:t>and that the workforce is supported in being able to work in new ways.</w:t>
      </w:r>
      <w:r w:rsidR="009E6E69" w:rsidRPr="006E4101">
        <w:rPr>
          <w:b w:val="0"/>
          <w:color w:val="auto"/>
          <w:sz w:val="22"/>
          <w:szCs w:val="22"/>
        </w:rPr>
        <w:t xml:space="preserve"> </w:t>
      </w:r>
      <w:r w:rsidRPr="006E4101">
        <w:rPr>
          <w:b w:val="0"/>
          <w:color w:val="auto"/>
          <w:sz w:val="22"/>
          <w:szCs w:val="22"/>
        </w:rPr>
        <w:t xml:space="preserve">As well as having implications for the existing workforce this may also require new roles working in different ways. </w:t>
      </w:r>
    </w:p>
    <w:p w:rsidR="00110790" w:rsidRPr="006E4101" w:rsidRDefault="00110790" w:rsidP="00110790">
      <w:r w:rsidRPr="006E4101">
        <w:t>It has become clear that when designing new ways of delivering services</w:t>
      </w:r>
      <w:r w:rsidR="009A4CE5">
        <w:t>,</w:t>
      </w:r>
      <w:r w:rsidRPr="006E4101">
        <w:t xml:space="preserve"> it is critical to understand both current and future workforce implications in parallel with the service redesign. </w:t>
      </w:r>
      <w:r w:rsidR="009A4CE5">
        <w:t xml:space="preserve">Building on previous work, </w:t>
      </w:r>
      <w:r w:rsidRPr="006E4101">
        <w:t>a modelling approach</w:t>
      </w:r>
      <w:r w:rsidR="009A4CE5">
        <w:t xml:space="preserve"> has been developed</w:t>
      </w:r>
      <w:r w:rsidRPr="006E4101">
        <w:t xml:space="preserve"> that will support innovators to understand the workforce implications of </w:t>
      </w:r>
      <w:r w:rsidR="00CF5F3F">
        <w:t>proposed service transformation</w:t>
      </w:r>
      <w:r w:rsidRPr="006E4101">
        <w:t>/new models.</w:t>
      </w:r>
    </w:p>
    <w:p w:rsidR="005413AD" w:rsidRDefault="00EA70EA" w:rsidP="000F6A7A">
      <w:pPr>
        <w:pStyle w:val="Heading1"/>
      </w:pPr>
      <w:r>
        <w:t xml:space="preserve">What is </w:t>
      </w:r>
      <w:r w:rsidR="00964989">
        <w:t xml:space="preserve">a </w:t>
      </w:r>
      <w:r>
        <w:t>workforce modelling tool?</w:t>
      </w:r>
      <w:r w:rsidR="005413AD">
        <w:tab/>
      </w:r>
    </w:p>
    <w:p w:rsidR="000F6A7A" w:rsidRPr="006E4101" w:rsidRDefault="00964989" w:rsidP="001A312B">
      <w:pPr>
        <w:pStyle w:val="Heading1"/>
        <w:rPr>
          <w:b w:val="0"/>
          <w:color w:val="auto"/>
          <w:sz w:val="22"/>
          <w:szCs w:val="22"/>
        </w:rPr>
      </w:pPr>
      <w:r>
        <w:rPr>
          <w:b w:val="0"/>
          <w:color w:val="auto"/>
          <w:sz w:val="22"/>
          <w:szCs w:val="22"/>
        </w:rPr>
        <w:t>A workforce modelling</w:t>
      </w:r>
      <w:r w:rsidR="001A312B" w:rsidRPr="006E4101">
        <w:rPr>
          <w:b w:val="0"/>
          <w:color w:val="auto"/>
          <w:sz w:val="22"/>
          <w:szCs w:val="22"/>
        </w:rPr>
        <w:t xml:space="preserve"> tool is a useful addition for those wishing to bring about new models in primary and integrated care, and service re-design around specific groups of patients. </w:t>
      </w:r>
      <w:r w:rsidR="000F6A7A" w:rsidRPr="006E4101">
        <w:rPr>
          <w:b w:val="0"/>
          <w:color w:val="auto"/>
          <w:sz w:val="22"/>
          <w:szCs w:val="22"/>
        </w:rPr>
        <w:t xml:space="preserve">Using a combination of population data (existing and growth), HEE supply data, and local information on service use and who does what (currently and in the future), the modelling tool can show future workforce profiles, thus informing requirements around the supply of new and existing roles. </w:t>
      </w:r>
    </w:p>
    <w:p w:rsidR="00110790" w:rsidRPr="006E4101" w:rsidRDefault="000F6A7A" w:rsidP="00110790">
      <w:pPr>
        <w:pStyle w:val="Heading1"/>
        <w:rPr>
          <w:b w:val="0"/>
          <w:color w:val="auto"/>
          <w:sz w:val="22"/>
          <w:szCs w:val="22"/>
          <w:highlight w:val="yellow"/>
        </w:rPr>
      </w:pPr>
      <w:r w:rsidRPr="006E4101">
        <w:rPr>
          <w:b w:val="0"/>
          <w:color w:val="auto"/>
          <w:sz w:val="22"/>
          <w:szCs w:val="22"/>
        </w:rPr>
        <w:t xml:space="preserve">This is a valuable planning asset that enables organisations to consider workforce implications of new ways of working and service transformation activities, both strategically and locally. </w:t>
      </w:r>
      <w:r w:rsidR="001A312B" w:rsidRPr="006E4101">
        <w:rPr>
          <w:b w:val="0"/>
          <w:color w:val="auto"/>
          <w:sz w:val="22"/>
          <w:szCs w:val="22"/>
        </w:rPr>
        <w:t>It will help produce scenarios and options for what the future workforce might look like. Most importantly</w:t>
      </w:r>
      <w:r w:rsidRPr="006E4101">
        <w:rPr>
          <w:b w:val="0"/>
          <w:color w:val="auto"/>
          <w:sz w:val="22"/>
          <w:szCs w:val="22"/>
        </w:rPr>
        <w:t>,</w:t>
      </w:r>
      <w:r w:rsidR="001A312B" w:rsidRPr="006E4101">
        <w:rPr>
          <w:b w:val="0"/>
          <w:color w:val="auto"/>
          <w:sz w:val="22"/>
          <w:szCs w:val="22"/>
        </w:rPr>
        <w:t xml:space="preserve"> it stimulates discussion amongst clinicians, providers and commissioners around future workforce requirements at the beginning of the design phase.</w:t>
      </w:r>
      <w:r w:rsidRPr="006E4101">
        <w:rPr>
          <w:b w:val="0"/>
          <w:color w:val="auto"/>
          <w:sz w:val="22"/>
          <w:szCs w:val="22"/>
        </w:rPr>
        <w:t xml:space="preserve"> A number of test sites have been identified and the tool is now available for use by commissioners, primary care networks, </w:t>
      </w:r>
      <w:r w:rsidR="000069DB">
        <w:rPr>
          <w:b w:val="0"/>
          <w:color w:val="auto"/>
          <w:sz w:val="22"/>
          <w:szCs w:val="22"/>
        </w:rPr>
        <w:t>federations, workforce networks and service development groups</w:t>
      </w:r>
      <w:r w:rsidRPr="006E4101">
        <w:rPr>
          <w:b w:val="0"/>
          <w:color w:val="auto"/>
          <w:sz w:val="22"/>
          <w:szCs w:val="22"/>
        </w:rPr>
        <w:t xml:space="preserve"> </w:t>
      </w:r>
      <w:r w:rsidR="000069DB">
        <w:rPr>
          <w:b w:val="0"/>
          <w:color w:val="auto"/>
          <w:sz w:val="22"/>
          <w:szCs w:val="22"/>
        </w:rPr>
        <w:t>(</w:t>
      </w:r>
      <w:r w:rsidRPr="006E4101">
        <w:rPr>
          <w:b w:val="0"/>
          <w:color w:val="auto"/>
          <w:sz w:val="22"/>
          <w:szCs w:val="22"/>
        </w:rPr>
        <w:t>e.g. LTC</w:t>
      </w:r>
      <w:r w:rsidR="000069DB">
        <w:rPr>
          <w:b w:val="0"/>
          <w:color w:val="auto"/>
          <w:sz w:val="22"/>
          <w:szCs w:val="22"/>
        </w:rPr>
        <w:t>)</w:t>
      </w:r>
      <w:r w:rsidRPr="006E4101">
        <w:rPr>
          <w:b w:val="0"/>
          <w:color w:val="auto"/>
          <w:sz w:val="22"/>
          <w:szCs w:val="22"/>
        </w:rPr>
        <w:t>.</w:t>
      </w:r>
      <w:r w:rsidR="00110790" w:rsidRPr="006E4101">
        <w:rPr>
          <w:b w:val="0"/>
          <w:color w:val="auto"/>
          <w:sz w:val="22"/>
          <w:szCs w:val="22"/>
          <w:highlight w:val="yellow"/>
        </w:rPr>
        <w:t xml:space="preserve"> </w:t>
      </w:r>
    </w:p>
    <w:p w:rsidR="00110790" w:rsidRPr="00CC4890" w:rsidRDefault="00110790" w:rsidP="00110790">
      <w:pPr>
        <w:pStyle w:val="Heading1"/>
        <w:rPr>
          <w:b w:val="0"/>
          <w:color w:val="auto"/>
          <w:sz w:val="22"/>
          <w:szCs w:val="22"/>
        </w:rPr>
      </w:pPr>
      <w:r w:rsidRPr="006E4101">
        <w:rPr>
          <w:b w:val="0"/>
          <w:color w:val="auto"/>
          <w:sz w:val="22"/>
          <w:szCs w:val="22"/>
        </w:rPr>
        <w:t xml:space="preserve">Previous workforce modelling approaches have been built upon to further enhance the ability to look at large </w:t>
      </w:r>
      <w:r w:rsidRPr="001D4B00">
        <w:rPr>
          <w:b w:val="0"/>
          <w:color w:val="auto"/>
          <w:sz w:val="22"/>
          <w:szCs w:val="22"/>
        </w:rPr>
        <w:t xml:space="preserve">and small population groups (e.g. STP to local network), whole populations and clinical subsets (e.g. LTC). The tool has also been developed to be able to calculate indicative relative workforce costs, thus enabling a comparison of current and future ways of working. The ability to model a whole person </w:t>
      </w:r>
      <w:r w:rsidRPr="00110790">
        <w:rPr>
          <w:b w:val="0"/>
          <w:color w:val="auto"/>
          <w:sz w:val="22"/>
          <w:szCs w:val="22"/>
        </w:rPr>
        <w:t>perspective is currently being developed (e.g. elderly frail, multiple co-morbidities).</w:t>
      </w:r>
      <w:r w:rsidRPr="00CC4890">
        <w:rPr>
          <w:b w:val="0"/>
          <w:color w:val="auto"/>
          <w:sz w:val="22"/>
          <w:szCs w:val="22"/>
        </w:rPr>
        <w:t xml:space="preserve"> </w:t>
      </w:r>
    </w:p>
    <w:p w:rsidR="00765CCF" w:rsidRDefault="00765CCF" w:rsidP="001A312B">
      <w:pPr>
        <w:pStyle w:val="Heading1"/>
      </w:pPr>
      <w:r>
        <w:t>What is it not?</w:t>
      </w:r>
    </w:p>
    <w:p w:rsidR="00765CCF" w:rsidRPr="001D4B00" w:rsidRDefault="00A35A1A" w:rsidP="005413AD">
      <w:pPr>
        <w:pStyle w:val="Heading1"/>
        <w:rPr>
          <w:color w:val="auto"/>
        </w:rPr>
      </w:pPr>
      <w:r w:rsidRPr="001D4B00">
        <w:rPr>
          <w:b w:val="0"/>
          <w:color w:val="auto"/>
          <w:sz w:val="22"/>
          <w:szCs w:val="22"/>
        </w:rPr>
        <w:t>The workforce modelling tool</w:t>
      </w:r>
      <w:r w:rsidR="001A312B" w:rsidRPr="001D4B00">
        <w:rPr>
          <w:b w:val="0"/>
          <w:color w:val="auto"/>
          <w:sz w:val="22"/>
          <w:szCs w:val="22"/>
        </w:rPr>
        <w:t xml:space="preserve"> does not say there is only one way to configure the future workforce.</w:t>
      </w:r>
    </w:p>
    <w:p w:rsidR="005413AD" w:rsidRDefault="005413AD" w:rsidP="005413AD">
      <w:pPr>
        <w:pStyle w:val="Heading1"/>
      </w:pPr>
      <w:r>
        <w:t>What did we do?</w:t>
      </w:r>
      <w:r>
        <w:tab/>
      </w:r>
    </w:p>
    <w:p w:rsidR="00136689" w:rsidRPr="001D4B00" w:rsidRDefault="00136689" w:rsidP="00136689">
      <w:pPr>
        <w:pStyle w:val="Heading1"/>
        <w:rPr>
          <w:b w:val="0"/>
          <w:color w:val="auto"/>
          <w:sz w:val="22"/>
          <w:szCs w:val="22"/>
        </w:rPr>
      </w:pPr>
      <w:r w:rsidRPr="001D4B00">
        <w:rPr>
          <w:b w:val="0"/>
          <w:color w:val="auto"/>
          <w:sz w:val="22"/>
          <w:szCs w:val="22"/>
        </w:rPr>
        <w:t>Building on pr</w:t>
      </w:r>
      <w:r w:rsidR="00E84982" w:rsidRPr="001D4B00">
        <w:rPr>
          <w:b w:val="0"/>
          <w:color w:val="auto"/>
          <w:sz w:val="22"/>
          <w:szCs w:val="22"/>
        </w:rPr>
        <w:t>evious work during the London wide</w:t>
      </w:r>
      <w:r w:rsidRPr="001D4B00">
        <w:rPr>
          <w:b w:val="0"/>
          <w:color w:val="auto"/>
          <w:sz w:val="22"/>
          <w:szCs w:val="22"/>
        </w:rPr>
        <w:t xml:space="preserve"> Workforce and Primary Care Transformation programmes, and the N</w:t>
      </w:r>
      <w:r w:rsidR="00E84982" w:rsidRPr="001D4B00">
        <w:rPr>
          <w:b w:val="0"/>
          <w:color w:val="auto"/>
          <w:sz w:val="22"/>
          <w:szCs w:val="22"/>
        </w:rPr>
        <w:t xml:space="preserve">orth </w:t>
      </w:r>
      <w:r w:rsidRPr="001D4B00">
        <w:rPr>
          <w:b w:val="0"/>
          <w:color w:val="auto"/>
          <w:sz w:val="22"/>
          <w:szCs w:val="22"/>
        </w:rPr>
        <w:t>E</w:t>
      </w:r>
      <w:r w:rsidR="00E84982" w:rsidRPr="001D4B00">
        <w:rPr>
          <w:b w:val="0"/>
          <w:color w:val="auto"/>
          <w:sz w:val="22"/>
          <w:szCs w:val="22"/>
        </w:rPr>
        <w:t xml:space="preserve">ast </w:t>
      </w:r>
      <w:r w:rsidRPr="001D4B00">
        <w:rPr>
          <w:b w:val="0"/>
          <w:color w:val="auto"/>
          <w:sz w:val="22"/>
          <w:szCs w:val="22"/>
        </w:rPr>
        <w:t>L</w:t>
      </w:r>
      <w:r w:rsidR="00E84982" w:rsidRPr="001D4B00">
        <w:rPr>
          <w:b w:val="0"/>
          <w:color w:val="auto"/>
          <w:sz w:val="22"/>
          <w:szCs w:val="22"/>
        </w:rPr>
        <w:t>ondon</w:t>
      </w:r>
      <w:r w:rsidRPr="001D4B00">
        <w:rPr>
          <w:b w:val="0"/>
          <w:color w:val="auto"/>
          <w:sz w:val="22"/>
          <w:szCs w:val="22"/>
        </w:rPr>
        <w:t xml:space="preserve"> STP Primary Care Transformation Programme, it was decided </w:t>
      </w:r>
      <w:r w:rsidR="00E84982" w:rsidRPr="001D4B00">
        <w:rPr>
          <w:b w:val="0"/>
          <w:color w:val="auto"/>
          <w:sz w:val="22"/>
          <w:szCs w:val="22"/>
        </w:rPr>
        <w:t xml:space="preserve">that </w:t>
      </w:r>
      <w:r w:rsidRPr="001D4B00">
        <w:rPr>
          <w:b w:val="0"/>
          <w:color w:val="auto"/>
          <w:sz w:val="22"/>
          <w:szCs w:val="22"/>
        </w:rPr>
        <w:t>a user-friendly modelling tool</w:t>
      </w:r>
      <w:r w:rsidR="00E84982" w:rsidRPr="001D4B00">
        <w:rPr>
          <w:b w:val="0"/>
          <w:color w:val="auto"/>
          <w:sz w:val="22"/>
          <w:szCs w:val="22"/>
        </w:rPr>
        <w:t xml:space="preserve"> be developed</w:t>
      </w:r>
      <w:r w:rsidRPr="001D4B00">
        <w:rPr>
          <w:b w:val="0"/>
          <w:color w:val="auto"/>
          <w:sz w:val="22"/>
          <w:szCs w:val="22"/>
        </w:rPr>
        <w:t xml:space="preserve"> </w:t>
      </w:r>
      <w:r w:rsidR="00E84982" w:rsidRPr="001D4B00">
        <w:rPr>
          <w:b w:val="0"/>
          <w:color w:val="auto"/>
          <w:sz w:val="22"/>
          <w:szCs w:val="22"/>
        </w:rPr>
        <w:t>which</w:t>
      </w:r>
      <w:r w:rsidRPr="001D4B00">
        <w:rPr>
          <w:b w:val="0"/>
          <w:color w:val="auto"/>
          <w:sz w:val="22"/>
          <w:szCs w:val="22"/>
        </w:rPr>
        <w:t xml:space="preserve"> had new capabilities.</w:t>
      </w:r>
    </w:p>
    <w:p w:rsidR="00136689" w:rsidRPr="001D4B00" w:rsidRDefault="00136689" w:rsidP="00136689">
      <w:pPr>
        <w:pStyle w:val="Heading1"/>
        <w:rPr>
          <w:b w:val="0"/>
          <w:color w:val="auto"/>
          <w:sz w:val="22"/>
          <w:szCs w:val="22"/>
        </w:rPr>
      </w:pPr>
      <w:r w:rsidRPr="001D4B00">
        <w:rPr>
          <w:b w:val="0"/>
          <w:color w:val="auto"/>
          <w:sz w:val="22"/>
          <w:szCs w:val="22"/>
        </w:rPr>
        <w:lastRenderedPageBreak/>
        <w:t xml:space="preserve">These capabilities </w:t>
      </w:r>
      <w:r w:rsidR="00E84982" w:rsidRPr="001D4B00">
        <w:rPr>
          <w:b w:val="0"/>
          <w:color w:val="auto"/>
          <w:sz w:val="22"/>
          <w:szCs w:val="22"/>
        </w:rPr>
        <w:t>would</w:t>
      </w:r>
      <w:r w:rsidRPr="001D4B00">
        <w:rPr>
          <w:b w:val="0"/>
          <w:color w:val="auto"/>
          <w:sz w:val="22"/>
          <w:szCs w:val="22"/>
        </w:rPr>
        <w:t>:</w:t>
      </w:r>
    </w:p>
    <w:p w:rsidR="00136689" w:rsidRPr="001D4B00" w:rsidRDefault="00136689" w:rsidP="00136689">
      <w:pPr>
        <w:pStyle w:val="Heading1"/>
        <w:numPr>
          <w:ilvl w:val="0"/>
          <w:numId w:val="19"/>
        </w:numPr>
        <w:rPr>
          <w:b w:val="0"/>
          <w:color w:val="auto"/>
          <w:sz w:val="22"/>
          <w:szCs w:val="22"/>
        </w:rPr>
      </w:pPr>
      <w:r w:rsidRPr="001D4B00">
        <w:rPr>
          <w:b w:val="0"/>
          <w:color w:val="auto"/>
          <w:sz w:val="22"/>
          <w:szCs w:val="22"/>
        </w:rPr>
        <w:t xml:space="preserve">Be </w:t>
      </w:r>
      <w:r w:rsidR="00775A82" w:rsidRPr="001D4B00">
        <w:rPr>
          <w:b w:val="0"/>
          <w:color w:val="auto"/>
          <w:sz w:val="22"/>
          <w:szCs w:val="22"/>
        </w:rPr>
        <w:t>scalable</w:t>
      </w:r>
      <w:r w:rsidRPr="001D4B00">
        <w:rPr>
          <w:b w:val="0"/>
          <w:color w:val="auto"/>
          <w:sz w:val="22"/>
          <w:szCs w:val="22"/>
        </w:rPr>
        <w:t xml:space="preserve"> i.e. be able to be effective looking at the future workforce required around populations as small as 30,000, as well as borough and STP level.</w:t>
      </w:r>
    </w:p>
    <w:p w:rsidR="00136689" w:rsidRPr="001D4B00" w:rsidRDefault="00136689" w:rsidP="00136689">
      <w:pPr>
        <w:pStyle w:val="Heading1"/>
        <w:numPr>
          <w:ilvl w:val="0"/>
          <w:numId w:val="19"/>
        </w:numPr>
        <w:rPr>
          <w:b w:val="0"/>
          <w:color w:val="auto"/>
          <w:sz w:val="22"/>
          <w:szCs w:val="22"/>
        </w:rPr>
      </w:pPr>
      <w:r w:rsidRPr="001D4B00">
        <w:rPr>
          <w:b w:val="0"/>
          <w:color w:val="auto"/>
          <w:sz w:val="22"/>
          <w:szCs w:val="22"/>
        </w:rPr>
        <w:t>Be</w:t>
      </w:r>
      <w:r w:rsidR="001939C7">
        <w:rPr>
          <w:b w:val="0"/>
          <w:color w:val="auto"/>
          <w:sz w:val="22"/>
          <w:szCs w:val="22"/>
        </w:rPr>
        <w:t xml:space="preserve"> useful for looking at specific</w:t>
      </w:r>
      <w:r w:rsidRPr="001D4B00">
        <w:rPr>
          <w:b w:val="0"/>
          <w:color w:val="auto"/>
          <w:sz w:val="22"/>
          <w:szCs w:val="22"/>
        </w:rPr>
        <w:t xml:space="preserve"> future workforce related to service transformation activities e.g. redesigning services around Adult Type 2 Diabetics, same day access, integrated care etc.</w:t>
      </w:r>
    </w:p>
    <w:p w:rsidR="00136689" w:rsidRPr="001D4B00" w:rsidRDefault="00136689" w:rsidP="00136689">
      <w:pPr>
        <w:pStyle w:val="Heading1"/>
        <w:numPr>
          <w:ilvl w:val="0"/>
          <w:numId w:val="19"/>
        </w:numPr>
        <w:rPr>
          <w:b w:val="0"/>
          <w:color w:val="auto"/>
          <w:sz w:val="22"/>
          <w:szCs w:val="22"/>
        </w:rPr>
      </w:pPr>
      <w:r w:rsidRPr="001D4B00">
        <w:rPr>
          <w:b w:val="0"/>
          <w:color w:val="auto"/>
          <w:sz w:val="22"/>
          <w:szCs w:val="22"/>
        </w:rPr>
        <w:t>Be able to understand the like for like costs of the future model of working</w:t>
      </w:r>
      <w:r w:rsidR="00A35A1A" w:rsidRPr="001D4B00">
        <w:rPr>
          <w:b w:val="0"/>
          <w:color w:val="auto"/>
          <w:sz w:val="22"/>
          <w:szCs w:val="22"/>
        </w:rPr>
        <w:t>.</w:t>
      </w:r>
    </w:p>
    <w:p w:rsidR="00916260" w:rsidRDefault="00EA70EA" w:rsidP="00136689">
      <w:pPr>
        <w:pStyle w:val="Heading1"/>
      </w:pPr>
      <w:r>
        <w:t>What were the results?</w:t>
      </w:r>
    </w:p>
    <w:p w:rsidR="007E6D85" w:rsidRDefault="007E6D85" w:rsidP="00916260">
      <w:pPr>
        <w:pStyle w:val="Heading1"/>
        <w:rPr>
          <w:b w:val="0"/>
          <w:color w:val="404040" w:themeColor="text1" w:themeTint="BF"/>
          <w:sz w:val="22"/>
          <w:szCs w:val="22"/>
        </w:rPr>
      </w:pPr>
      <w:r w:rsidRPr="007E6D85">
        <w:rPr>
          <w:b w:val="0"/>
          <w:color w:val="404040" w:themeColor="text1" w:themeTint="BF"/>
          <w:sz w:val="22"/>
          <w:szCs w:val="22"/>
        </w:rPr>
        <w:t xml:space="preserve">The Future Workforce Tool was co-designed with providers and commissioners from all five STP areas with the new capabilities and user-friendly interface. </w:t>
      </w:r>
      <w:r w:rsidR="008000AC">
        <w:rPr>
          <w:b w:val="0"/>
          <w:color w:val="404040" w:themeColor="text1" w:themeTint="BF"/>
          <w:sz w:val="22"/>
          <w:szCs w:val="22"/>
        </w:rPr>
        <w:t>F</w:t>
      </w:r>
      <w:r w:rsidRPr="007E6D85">
        <w:rPr>
          <w:b w:val="0"/>
          <w:color w:val="404040" w:themeColor="text1" w:themeTint="BF"/>
          <w:sz w:val="22"/>
          <w:szCs w:val="22"/>
        </w:rPr>
        <w:t xml:space="preserve">eedback </w:t>
      </w:r>
      <w:r w:rsidR="00097E87">
        <w:rPr>
          <w:b w:val="0"/>
          <w:color w:val="404040" w:themeColor="text1" w:themeTint="BF"/>
          <w:sz w:val="22"/>
          <w:szCs w:val="22"/>
        </w:rPr>
        <w:t>was</w:t>
      </w:r>
      <w:r w:rsidRPr="007E6D85">
        <w:rPr>
          <w:b w:val="0"/>
          <w:color w:val="404040" w:themeColor="text1" w:themeTint="BF"/>
          <w:sz w:val="22"/>
          <w:szCs w:val="22"/>
        </w:rPr>
        <w:t xml:space="preserve"> very positive and there has been a lot of interest in testing the tool in real life situations by providers, supported by commissioners. The ‘Beta2’ version was provided </w:t>
      </w:r>
      <w:r w:rsidR="00097E87">
        <w:rPr>
          <w:b w:val="0"/>
          <w:color w:val="404040" w:themeColor="text1" w:themeTint="BF"/>
          <w:sz w:val="22"/>
          <w:szCs w:val="22"/>
        </w:rPr>
        <w:t>in May 2018, with d</w:t>
      </w:r>
      <w:r w:rsidRPr="007E6D85">
        <w:rPr>
          <w:b w:val="0"/>
          <w:color w:val="404040" w:themeColor="text1" w:themeTint="BF"/>
          <w:sz w:val="22"/>
          <w:szCs w:val="22"/>
        </w:rPr>
        <w:t xml:space="preserve">emonstrations and ‘Train the Trainer’ sessions with representatives from all STPs. Areas that </w:t>
      </w:r>
      <w:r w:rsidR="00097E87">
        <w:rPr>
          <w:b w:val="0"/>
          <w:color w:val="404040" w:themeColor="text1" w:themeTint="BF"/>
          <w:sz w:val="22"/>
          <w:szCs w:val="22"/>
        </w:rPr>
        <w:t xml:space="preserve">were discussed </w:t>
      </w:r>
      <w:r w:rsidRPr="007E6D85">
        <w:rPr>
          <w:b w:val="0"/>
          <w:color w:val="404040" w:themeColor="text1" w:themeTint="BF"/>
          <w:sz w:val="22"/>
          <w:szCs w:val="22"/>
        </w:rPr>
        <w:t>include Type 2 Diabetes, Same Da</w:t>
      </w:r>
      <w:r w:rsidR="00651C9E">
        <w:rPr>
          <w:b w:val="0"/>
          <w:color w:val="404040" w:themeColor="text1" w:themeTint="BF"/>
          <w:sz w:val="22"/>
          <w:szCs w:val="22"/>
        </w:rPr>
        <w:t>y Access, Nursing Services and Integrated C</w:t>
      </w:r>
      <w:r w:rsidRPr="007E6D85">
        <w:rPr>
          <w:b w:val="0"/>
          <w:color w:val="404040" w:themeColor="text1" w:themeTint="BF"/>
          <w:sz w:val="22"/>
          <w:szCs w:val="22"/>
        </w:rPr>
        <w:t xml:space="preserve">are (although the latter </w:t>
      </w:r>
      <w:r w:rsidR="00097E87">
        <w:rPr>
          <w:b w:val="0"/>
          <w:color w:val="404040" w:themeColor="text1" w:themeTint="BF"/>
          <w:sz w:val="22"/>
          <w:szCs w:val="22"/>
        </w:rPr>
        <w:t>requires</w:t>
      </w:r>
      <w:r w:rsidRPr="007E6D85">
        <w:rPr>
          <w:b w:val="0"/>
          <w:color w:val="404040" w:themeColor="text1" w:themeTint="BF"/>
          <w:sz w:val="22"/>
          <w:szCs w:val="22"/>
        </w:rPr>
        <w:t xml:space="preserve"> more testing).</w:t>
      </w:r>
    </w:p>
    <w:p w:rsidR="00916260" w:rsidRDefault="00E347E1" w:rsidP="00916260">
      <w:pPr>
        <w:pStyle w:val="Heading1"/>
      </w:pPr>
      <w:r w:rsidRPr="00DB755A">
        <w:t>What</w:t>
      </w:r>
      <w:r w:rsidR="00EA70EA" w:rsidRPr="00DB755A">
        <w:t xml:space="preserve"> next?</w:t>
      </w:r>
    </w:p>
    <w:p w:rsidR="00AA5FEA" w:rsidRDefault="00AA5FEA" w:rsidP="00765CCF">
      <w:pPr>
        <w:pStyle w:val="Heading1"/>
        <w:rPr>
          <w:b w:val="0"/>
          <w:color w:val="404040" w:themeColor="text1" w:themeTint="BF"/>
          <w:sz w:val="22"/>
          <w:szCs w:val="22"/>
        </w:rPr>
      </w:pPr>
      <w:r w:rsidRPr="00AA5FEA">
        <w:rPr>
          <w:b w:val="0"/>
          <w:color w:val="404040" w:themeColor="text1" w:themeTint="BF"/>
          <w:sz w:val="22"/>
          <w:szCs w:val="22"/>
        </w:rPr>
        <w:t>The STP ‘workfor</w:t>
      </w:r>
      <w:r w:rsidR="00AF61A4">
        <w:rPr>
          <w:b w:val="0"/>
          <w:color w:val="404040" w:themeColor="text1" w:themeTint="BF"/>
          <w:sz w:val="22"/>
          <w:szCs w:val="22"/>
        </w:rPr>
        <w:t>ce’ teams working with CCG and p</w:t>
      </w:r>
      <w:r w:rsidRPr="00AA5FEA">
        <w:rPr>
          <w:b w:val="0"/>
          <w:color w:val="404040" w:themeColor="text1" w:themeTint="BF"/>
          <w:sz w:val="22"/>
          <w:szCs w:val="22"/>
        </w:rPr>
        <w:t xml:space="preserve">rovider representatives are identifying pilot sites where </w:t>
      </w:r>
      <w:r w:rsidR="00AF61A4">
        <w:rPr>
          <w:b w:val="0"/>
          <w:color w:val="404040" w:themeColor="text1" w:themeTint="BF"/>
          <w:sz w:val="22"/>
          <w:szCs w:val="22"/>
        </w:rPr>
        <w:t xml:space="preserve">the </w:t>
      </w:r>
      <w:r w:rsidRPr="00AA5FEA">
        <w:rPr>
          <w:b w:val="0"/>
          <w:color w:val="404040" w:themeColor="text1" w:themeTint="BF"/>
          <w:sz w:val="22"/>
          <w:szCs w:val="22"/>
        </w:rPr>
        <w:t>tool can be used and further tested. Interest has also been expressed from the National NHSE team – especially</w:t>
      </w:r>
      <w:r>
        <w:rPr>
          <w:b w:val="0"/>
          <w:color w:val="404040" w:themeColor="text1" w:themeTint="BF"/>
          <w:sz w:val="22"/>
          <w:szCs w:val="22"/>
        </w:rPr>
        <w:t xml:space="preserve"> in the</w:t>
      </w:r>
      <w:r w:rsidRPr="00AA5FEA">
        <w:rPr>
          <w:b w:val="0"/>
          <w:color w:val="404040" w:themeColor="text1" w:themeTint="BF"/>
          <w:sz w:val="22"/>
          <w:szCs w:val="22"/>
        </w:rPr>
        <w:t xml:space="preserve"> East</w:t>
      </w:r>
      <w:r w:rsidR="00AA5A87">
        <w:rPr>
          <w:b w:val="0"/>
          <w:color w:val="404040" w:themeColor="text1" w:themeTint="BF"/>
          <w:sz w:val="22"/>
          <w:szCs w:val="22"/>
        </w:rPr>
        <w:t xml:space="preserve"> Midlands</w:t>
      </w:r>
      <w:r w:rsidRPr="00AA5FEA">
        <w:rPr>
          <w:b w:val="0"/>
          <w:color w:val="404040" w:themeColor="text1" w:themeTint="BF"/>
          <w:sz w:val="22"/>
          <w:szCs w:val="22"/>
        </w:rPr>
        <w:t xml:space="preserve"> </w:t>
      </w:r>
      <w:r>
        <w:rPr>
          <w:b w:val="0"/>
          <w:color w:val="404040" w:themeColor="text1" w:themeTint="BF"/>
          <w:sz w:val="22"/>
          <w:szCs w:val="22"/>
        </w:rPr>
        <w:t>and North</w:t>
      </w:r>
      <w:r w:rsidRPr="00AA5FEA">
        <w:rPr>
          <w:b w:val="0"/>
          <w:color w:val="404040" w:themeColor="text1" w:themeTint="BF"/>
          <w:sz w:val="22"/>
          <w:szCs w:val="22"/>
        </w:rPr>
        <w:t>.</w:t>
      </w:r>
    </w:p>
    <w:p w:rsidR="00692CE3" w:rsidRPr="005413AD" w:rsidRDefault="00692CE3">
      <w:pPr>
        <w:pStyle w:val="Transforming-body"/>
      </w:pPr>
    </w:p>
    <w:sectPr w:rsidR="00692CE3" w:rsidRPr="005413AD" w:rsidSect="002353AF">
      <w:headerReference w:type="even" r:id="rId10"/>
      <w:headerReference w:type="default" r:id="rId11"/>
      <w:footerReference w:type="even" r:id="rId12"/>
      <w:footerReference w:type="default" r:id="rId13"/>
      <w:headerReference w:type="first" r:id="rId14"/>
      <w:footerReference w:type="first" r:id="rId15"/>
      <w:pgSz w:w="11906" w:h="16838" w:code="9"/>
      <w:pgMar w:top="1247" w:right="1247" w:bottom="851" w:left="1247" w:header="709" w:footer="23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865" w:rsidRDefault="00927865" w:rsidP="004850ED">
      <w:pPr>
        <w:spacing w:after="0" w:line="240" w:lineRule="auto"/>
      </w:pPr>
      <w:r>
        <w:separator/>
      </w:r>
    </w:p>
  </w:endnote>
  <w:endnote w:type="continuationSeparator" w:id="0">
    <w:p w:rsidR="00927865" w:rsidRDefault="00927865"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08" w:rsidRDefault="00B56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B56408" w:rsidTr="00484CDD">
      <w:trPr>
        <w:trHeight w:val="340"/>
      </w:trPr>
      <w:tc>
        <w:tcPr>
          <w:tcW w:w="8647" w:type="dxa"/>
          <w:vAlign w:val="center"/>
        </w:tcPr>
        <w:p w:rsidR="00B56408" w:rsidRPr="00CE3FD4" w:rsidRDefault="00B56408" w:rsidP="00484CDD">
          <w:pPr>
            <w:pStyle w:val="Footer"/>
            <w:rPr>
              <w:i/>
              <w:color w:val="0070C0"/>
              <w:sz w:val="16"/>
              <w:szCs w:val="16"/>
            </w:rPr>
          </w:pPr>
          <w:r w:rsidRPr="00CE3FD4">
            <w:rPr>
              <w:i/>
              <w:color w:val="0070C0"/>
              <w:sz w:val="16"/>
              <w:szCs w:val="16"/>
            </w:rPr>
            <w:t>Supported by and delivering for London’s NHS, London Councils, Public Health England and the Mayor of London</w:t>
          </w:r>
        </w:p>
      </w:tc>
      <w:tc>
        <w:tcPr>
          <w:tcW w:w="873" w:type="dxa"/>
          <w:vAlign w:val="center"/>
        </w:tcPr>
        <w:p w:rsidR="00B56408" w:rsidRPr="002D1B18" w:rsidRDefault="00B56408"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sidR="00D3080D">
            <w:rPr>
              <w:i/>
              <w:noProof/>
              <w:color w:val="0070C0"/>
              <w:sz w:val="20"/>
              <w:szCs w:val="20"/>
            </w:rPr>
            <w:t>1</w:t>
          </w:r>
          <w:r>
            <w:rPr>
              <w:i/>
              <w:color w:val="0070C0"/>
              <w:sz w:val="20"/>
              <w:szCs w:val="20"/>
            </w:rPr>
            <w:fldChar w:fldCharType="end"/>
          </w:r>
        </w:p>
      </w:tc>
    </w:tr>
  </w:tbl>
  <w:p w:rsidR="00B56408" w:rsidRDefault="00B56408" w:rsidP="00701A43">
    <w:pPr>
      <w:pStyle w:val="Footer"/>
      <w:jc w:val="center"/>
    </w:pPr>
  </w:p>
  <w:p w:rsidR="00B56408" w:rsidRDefault="00B564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52849"/>
      <w:docPartObj>
        <w:docPartGallery w:val="Page Numbers (Bottom of Page)"/>
        <w:docPartUnique/>
      </w:docPartObj>
    </w:sdtPr>
    <w:sdtEndPr>
      <w:rPr>
        <w:noProof/>
      </w:rPr>
    </w:sdtEndPr>
    <w:sdtContent>
      <w:p w:rsidR="00B56408" w:rsidRDefault="00B56408">
        <w:pPr>
          <w:pStyle w:val="Footer"/>
          <w:jc w:val="center"/>
        </w:pPr>
      </w:p>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B56408" w:rsidTr="00484CDD">
          <w:trPr>
            <w:trHeight w:val="340"/>
          </w:trPr>
          <w:tc>
            <w:tcPr>
              <w:tcW w:w="8647" w:type="dxa"/>
              <w:vAlign w:val="center"/>
            </w:tcPr>
            <w:p w:rsidR="00B56408" w:rsidRPr="002D1B18" w:rsidRDefault="00B56408" w:rsidP="00484CDD">
              <w:pPr>
                <w:pStyle w:val="Footer"/>
                <w:ind w:left="-142"/>
                <w:rPr>
                  <w:i/>
                  <w:color w:val="0070C0"/>
                  <w:sz w:val="20"/>
                  <w:szCs w:val="20"/>
                </w:rPr>
              </w:pPr>
              <w:r w:rsidRPr="002D1B18">
                <w:rPr>
                  <w:i/>
                  <w:color w:val="0070C0"/>
                  <w:sz w:val="20"/>
                  <w:szCs w:val="20"/>
                </w:rPr>
                <w:t>Supported by and delivering for London’s NHS, Public Health England and the Mayor of London</w:t>
              </w:r>
            </w:p>
          </w:tc>
          <w:tc>
            <w:tcPr>
              <w:tcW w:w="873" w:type="dxa"/>
              <w:vAlign w:val="center"/>
            </w:tcPr>
            <w:p w:rsidR="00B56408" w:rsidRPr="002D1B18" w:rsidRDefault="00B56408"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Pr>
                  <w:i/>
                  <w:noProof/>
                  <w:color w:val="0070C0"/>
                  <w:sz w:val="20"/>
                  <w:szCs w:val="20"/>
                </w:rPr>
                <w:t>1</w:t>
              </w:r>
              <w:r>
                <w:rPr>
                  <w:i/>
                  <w:color w:val="0070C0"/>
                  <w:sz w:val="20"/>
                  <w:szCs w:val="20"/>
                </w:rPr>
                <w:fldChar w:fldCharType="end"/>
              </w:r>
            </w:p>
          </w:tc>
        </w:tr>
      </w:tbl>
      <w:p w:rsidR="00B56408" w:rsidRDefault="00B56408">
        <w:pPr>
          <w:pStyle w:val="Footer"/>
          <w:jc w:val="center"/>
        </w:pPr>
      </w:p>
      <w:p w:rsidR="00B56408" w:rsidRDefault="00D3080D" w:rsidP="002353AF">
        <w:pPr>
          <w:pStyle w:val="Footer"/>
        </w:pPr>
      </w:p>
    </w:sdtContent>
  </w:sdt>
  <w:p w:rsidR="00B56408" w:rsidRDefault="00B56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865" w:rsidRDefault="00927865" w:rsidP="004850ED">
      <w:pPr>
        <w:spacing w:after="0" w:line="240" w:lineRule="auto"/>
      </w:pPr>
      <w:r>
        <w:separator/>
      </w:r>
    </w:p>
  </w:footnote>
  <w:footnote w:type="continuationSeparator" w:id="0">
    <w:p w:rsidR="00927865" w:rsidRDefault="00927865"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08" w:rsidRDefault="00B56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08" w:rsidRPr="007E0B66" w:rsidRDefault="00B56408" w:rsidP="00CE3FD4">
    <w:pPr>
      <w:pStyle w:val="Header"/>
      <w:pBdr>
        <w:bottom w:val="single" w:sz="4" w:space="1" w:color="0072C6"/>
      </w:pBdr>
      <w:tabs>
        <w:tab w:val="clear" w:pos="4513"/>
        <w:tab w:val="clear" w:pos="9026"/>
        <w:tab w:val="left" w:pos="8647"/>
      </w:tabs>
      <w:rPr>
        <w:rFonts w:cs="Arial"/>
        <w:b/>
        <w:i/>
        <w:color w:val="404040" w:themeColor="text1" w:themeTint="BF"/>
      </w:rPr>
    </w:pPr>
    <w:r>
      <w:rPr>
        <w:rFonts w:cs="Arial"/>
        <w:b/>
        <w:i/>
        <w:color w:val="404040" w:themeColor="text1" w:themeTint="BF"/>
      </w:rPr>
      <w:t>Workforce Modelling Tool: Case study</w:t>
    </w:r>
    <w:r w:rsidRPr="00F55314">
      <w:rPr>
        <w:color w:val="595959" w:themeColor="text1" w:themeTint="A6"/>
      </w:rPr>
      <w:tab/>
    </w:r>
    <w:r>
      <w:rPr>
        <w:color w:val="595959" w:themeColor="text1" w:themeTint="A6"/>
        <w:sz w:val="20"/>
        <w:szCs w:val="20"/>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08" w:rsidRDefault="00B56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86A"/>
    <w:multiLevelType w:val="hybridMultilevel"/>
    <w:tmpl w:val="FCBE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12A3B"/>
    <w:multiLevelType w:val="hybridMultilevel"/>
    <w:tmpl w:val="7C962C44"/>
    <w:lvl w:ilvl="0" w:tplc="AA945F1C">
      <w:start w:val="1"/>
      <w:numFmt w:val="bullet"/>
      <w:pStyle w:val="HLPbullet2"/>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F092E"/>
    <w:multiLevelType w:val="hybridMultilevel"/>
    <w:tmpl w:val="B178D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0389A"/>
    <w:multiLevelType w:val="hybridMultilevel"/>
    <w:tmpl w:val="FFF0568A"/>
    <w:lvl w:ilvl="0" w:tplc="70FE2D0A">
      <w:start w:val="1"/>
      <w:numFmt w:val="bullet"/>
      <w:pStyle w:val="HLP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1B3DD1"/>
    <w:multiLevelType w:val="hybridMultilevel"/>
    <w:tmpl w:val="702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290629"/>
    <w:multiLevelType w:val="hybridMultilevel"/>
    <w:tmpl w:val="EAA4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331B61"/>
    <w:multiLevelType w:val="hybridMultilevel"/>
    <w:tmpl w:val="1078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1E5855"/>
    <w:multiLevelType w:val="hybridMultilevel"/>
    <w:tmpl w:val="160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BA28F6"/>
    <w:multiLevelType w:val="hybridMultilevel"/>
    <w:tmpl w:val="531A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E51D02"/>
    <w:multiLevelType w:val="hybridMultilevel"/>
    <w:tmpl w:val="317C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176943"/>
    <w:multiLevelType w:val="hybridMultilevel"/>
    <w:tmpl w:val="FC8E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920B04"/>
    <w:multiLevelType w:val="hybridMultilevel"/>
    <w:tmpl w:val="7A32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7375AA"/>
    <w:multiLevelType w:val="hybridMultilevel"/>
    <w:tmpl w:val="9B688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B00BC4"/>
    <w:multiLevelType w:val="hybridMultilevel"/>
    <w:tmpl w:val="2D8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661396"/>
    <w:multiLevelType w:val="hybridMultilevel"/>
    <w:tmpl w:val="F602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434642"/>
    <w:multiLevelType w:val="hybridMultilevel"/>
    <w:tmpl w:val="41B08E3A"/>
    <w:lvl w:ilvl="0" w:tplc="EEFCC4D0">
      <w:start w:val="2"/>
      <w:numFmt w:val="decimal"/>
      <w:lvlText w:val="%1."/>
      <w:lvlJc w:val="left"/>
      <w:pPr>
        <w:tabs>
          <w:tab w:val="num" w:pos="720"/>
        </w:tabs>
        <w:ind w:left="720" w:hanging="360"/>
      </w:pPr>
    </w:lvl>
    <w:lvl w:ilvl="1" w:tplc="00DA1B02" w:tentative="1">
      <w:start w:val="1"/>
      <w:numFmt w:val="decimal"/>
      <w:lvlText w:val="%2."/>
      <w:lvlJc w:val="left"/>
      <w:pPr>
        <w:tabs>
          <w:tab w:val="num" w:pos="1440"/>
        </w:tabs>
        <w:ind w:left="1440" w:hanging="360"/>
      </w:pPr>
    </w:lvl>
    <w:lvl w:ilvl="2" w:tplc="5E041EB2" w:tentative="1">
      <w:start w:val="1"/>
      <w:numFmt w:val="decimal"/>
      <w:lvlText w:val="%3."/>
      <w:lvlJc w:val="left"/>
      <w:pPr>
        <w:tabs>
          <w:tab w:val="num" w:pos="2160"/>
        </w:tabs>
        <w:ind w:left="2160" w:hanging="360"/>
      </w:pPr>
    </w:lvl>
    <w:lvl w:ilvl="3" w:tplc="E9B8B82E" w:tentative="1">
      <w:start w:val="1"/>
      <w:numFmt w:val="decimal"/>
      <w:lvlText w:val="%4."/>
      <w:lvlJc w:val="left"/>
      <w:pPr>
        <w:tabs>
          <w:tab w:val="num" w:pos="2880"/>
        </w:tabs>
        <w:ind w:left="2880" w:hanging="360"/>
      </w:pPr>
    </w:lvl>
    <w:lvl w:ilvl="4" w:tplc="2CE6C374" w:tentative="1">
      <w:start w:val="1"/>
      <w:numFmt w:val="decimal"/>
      <w:lvlText w:val="%5."/>
      <w:lvlJc w:val="left"/>
      <w:pPr>
        <w:tabs>
          <w:tab w:val="num" w:pos="3600"/>
        </w:tabs>
        <w:ind w:left="3600" w:hanging="360"/>
      </w:pPr>
    </w:lvl>
    <w:lvl w:ilvl="5" w:tplc="BC8497C2" w:tentative="1">
      <w:start w:val="1"/>
      <w:numFmt w:val="decimal"/>
      <w:lvlText w:val="%6."/>
      <w:lvlJc w:val="left"/>
      <w:pPr>
        <w:tabs>
          <w:tab w:val="num" w:pos="4320"/>
        </w:tabs>
        <w:ind w:left="4320" w:hanging="360"/>
      </w:pPr>
    </w:lvl>
    <w:lvl w:ilvl="6" w:tplc="9A1CBFB0" w:tentative="1">
      <w:start w:val="1"/>
      <w:numFmt w:val="decimal"/>
      <w:lvlText w:val="%7."/>
      <w:lvlJc w:val="left"/>
      <w:pPr>
        <w:tabs>
          <w:tab w:val="num" w:pos="5040"/>
        </w:tabs>
        <w:ind w:left="5040" w:hanging="360"/>
      </w:pPr>
    </w:lvl>
    <w:lvl w:ilvl="7" w:tplc="34EA777E" w:tentative="1">
      <w:start w:val="1"/>
      <w:numFmt w:val="decimal"/>
      <w:lvlText w:val="%8."/>
      <w:lvlJc w:val="left"/>
      <w:pPr>
        <w:tabs>
          <w:tab w:val="num" w:pos="5760"/>
        </w:tabs>
        <w:ind w:left="5760" w:hanging="360"/>
      </w:pPr>
    </w:lvl>
    <w:lvl w:ilvl="8" w:tplc="9558BBB8" w:tentative="1">
      <w:start w:val="1"/>
      <w:numFmt w:val="decimal"/>
      <w:lvlText w:val="%9."/>
      <w:lvlJc w:val="left"/>
      <w:pPr>
        <w:tabs>
          <w:tab w:val="num" w:pos="6480"/>
        </w:tabs>
        <w:ind w:left="6480" w:hanging="360"/>
      </w:pPr>
    </w:lvl>
  </w:abstractNum>
  <w:abstractNum w:abstractNumId="16">
    <w:nsid w:val="64666D43"/>
    <w:multiLevelType w:val="hybridMultilevel"/>
    <w:tmpl w:val="E7E4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AA27AB"/>
    <w:multiLevelType w:val="hybridMultilevel"/>
    <w:tmpl w:val="0092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B1109F"/>
    <w:multiLevelType w:val="hybridMultilevel"/>
    <w:tmpl w:val="AFA2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4370AA"/>
    <w:multiLevelType w:val="hybridMultilevel"/>
    <w:tmpl w:val="1324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AC229D"/>
    <w:multiLevelType w:val="hybridMultilevel"/>
    <w:tmpl w:val="5A5E411C"/>
    <w:lvl w:ilvl="0" w:tplc="C85609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CF5C71"/>
    <w:multiLevelType w:val="hybridMultilevel"/>
    <w:tmpl w:val="B23AF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C3711C"/>
    <w:multiLevelType w:val="hybridMultilevel"/>
    <w:tmpl w:val="1EA4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971155"/>
    <w:multiLevelType w:val="hybridMultilevel"/>
    <w:tmpl w:val="094CF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AD676E"/>
    <w:multiLevelType w:val="hybridMultilevel"/>
    <w:tmpl w:val="B40C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4"/>
  </w:num>
  <w:num w:numId="4">
    <w:abstractNumId w:val="1"/>
  </w:num>
  <w:num w:numId="5">
    <w:abstractNumId w:val="2"/>
  </w:num>
  <w:num w:numId="6">
    <w:abstractNumId w:val="6"/>
  </w:num>
  <w:num w:numId="7">
    <w:abstractNumId w:val="14"/>
  </w:num>
  <w:num w:numId="8">
    <w:abstractNumId w:val="21"/>
  </w:num>
  <w:num w:numId="9">
    <w:abstractNumId w:val="0"/>
  </w:num>
  <w:num w:numId="10">
    <w:abstractNumId w:val="23"/>
  </w:num>
  <w:num w:numId="11">
    <w:abstractNumId w:val="4"/>
  </w:num>
  <w:num w:numId="12">
    <w:abstractNumId w:val="18"/>
  </w:num>
  <w:num w:numId="13">
    <w:abstractNumId w:val="17"/>
  </w:num>
  <w:num w:numId="14">
    <w:abstractNumId w:val="13"/>
  </w:num>
  <w:num w:numId="15">
    <w:abstractNumId w:val="22"/>
  </w:num>
  <w:num w:numId="16">
    <w:abstractNumId w:val="10"/>
  </w:num>
  <w:num w:numId="17">
    <w:abstractNumId w:val="11"/>
  </w:num>
  <w:num w:numId="18">
    <w:abstractNumId w:val="8"/>
  </w:num>
  <w:num w:numId="19">
    <w:abstractNumId w:val="12"/>
  </w:num>
  <w:num w:numId="20">
    <w:abstractNumId w:val="20"/>
  </w:num>
  <w:num w:numId="21">
    <w:abstractNumId w:val="16"/>
  </w:num>
  <w:num w:numId="22">
    <w:abstractNumId w:val="9"/>
  </w:num>
  <w:num w:numId="23">
    <w:abstractNumId w:val="7"/>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43"/>
    <w:rsid w:val="000069DB"/>
    <w:rsid w:val="00066E2B"/>
    <w:rsid w:val="00085E3B"/>
    <w:rsid w:val="00097E87"/>
    <w:rsid w:val="000E0476"/>
    <w:rsid w:val="000E194E"/>
    <w:rsid w:val="000F6A7A"/>
    <w:rsid w:val="00110790"/>
    <w:rsid w:val="00132634"/>
    <w:rsid w:val="00136689"/>
    <w:rsid w:val="001939C7"/>
    <w:rsid w:val="001A312B"/>
    <w:rsid w:val="001B4896"/>
    <w:rsid w:val="001D4B00"/>
    <w:rsid w:val="001D64A0"/>
    <w:rsid w:val="001E0FE0"/>
    <w:rsid w:val="001E194C"/>
    <w:rsid w:val="001F32B1"/>
    <w:rsid w:val="00204995"/>
    <w:rsid w:val="00205D07"/>
    <w:rsid w:val="002353AF"/>
    <w:rsid w:val="002959FD"/>
    <w:rsid w:val="002D4892"/>
    <w:rsid w:val="00305B4C"/>
    <w:rsid w:val="00324195"/>
    <w:rsid w:val="00386BEB"/>
    <w:rsid w:val="003E34FB"/>
    <w:rsid w:val="00410DFA"/>
    <w:rsid w:val="00484CDD"/>
    <w:rsid w:val="004850ED"/>
    <w:rsid w:val="004D7748"/>
    <w:rsid w:val="00512FF4"/>
    <w:rsid w:val="005413AD"/>
    <w:rsid w:val="005638A7"/>
    <w:rsid w:val="005B3112"/>
    <w:rsid w:val="005B4F3F"/>
    <w:rsid w:val="005B6541"/>
    <w:rsid w:val="00632EA0"/>
    <w:rsid w:val="00651C9E"/>
    <w:rsid w:val="00660803"/>
    <w:rsid w:val="0066175F"/>
    <w:rsid w:val="00692CE3"/>
    <w:rsid w:val="00695C6D"/>
    <w:rsid w:val="006E4101"/>
    <w:rsid w:val="00701A43"/>
    <w:rsid w:val="0072600B"/>
    <w:rsid w:val="00733D88"/>
    <w:rsid w:val="00765CCF"/>
    <w:rsid w:val="00775A82"/>
    <w:rsid w:val="007E0B66"/>
    <w:rsid w:val="007E6D85"/>
    <w:rsid w:val="008000AC"/>
    <w:rsid w:val="008643DE"/>
    <w:rsid w:val="008F6E4F"/>
    <w:rsid w:val="00916260"/>
    <w:rsid w:val="00916DAF"/>
    <w:rsid w:val="00927865"/>
    <w:rsid w:val="009426EF"/>
    <w:rsid w:val="00951299"/>
    <w:rsid w:val="00957348"/>
    <w:rsid w:val="00964989"/>
    <w:rsid w:val="00990F74"/>
    <w:rsid w:val="009A4CE5"/>
    <w:rsid w:val="009C5B30"/>
    <w:rsid w:val="009E0C01"/>
    <w:rsid w:val="009E6E69"/>
    <w:rsid w:val="00A35A1A"/>
    <w:rsid w:val="00A77C66"/>
    <w:rsid w:val="00AA5A87"/>
    <w:rsid w:val="00AA5FEA"/>
    <w:rsid w:val="00AA79F3"/>
    <w:rsid w:val="00AF61A4"/>
    <w:rsid w:val="00B00098"/>
    <w:rsid w:val="00B07CA0"/>
    <w:rsid w:val="00B13CF4"/>
    <w:rsid w:val="00B22BA6"/>
    <w:rsid w:val="00B43C6D"/>
    <w:rsid w:val="00B56408"/>
    <w:rsid w:val="00BD1355"/>
    <w:rsid w:val="00BF4607"/>
    <w:rsid w:val="00C00AC1"/>
    <w:rsid w:val="00C1770B"/>
    <w:rsid w:val="00C326FD"/>
    <w:rsid w:val="00C66473"/>
    <w:rsid w:val="00CB1768"/>
    <w:rsid w:val="00CB6171"/>
    <w:rsid w:val="00CC4890"/>
    <w:rsid w:val="00CE2229"/>
    <w:rsid w:val="00CE3FD4"/>
    <w:rsid w:val="00CF5F3F"/>
    <w:rsid w:val="00D231CF"/>
    <w:rsid w:val="00D3080D"/>
    <w:rsid w:val="00D60E90"/>
    <w:rsid w:val="00DB755A"/>
    <w:rsid w:val="00DC4730"/>
    <w:rsid w:val="00E347E1"/>
    <w:rsid w:val="00E368E6"/>
    <w:rsid w:val="00E60413"/>
    <w:rsid w:val="00E75092"/>
    <w:rsid w:val="00E75451"/>
    <w:rsid w:val="00E84982"/>
    <w:rsid w:val="00E920F7"/>
    <w:rsid w:val="00E93404"/>
    <w:rsid w:val="00EA70EA"/>
    <w:rsid w:val="00EC1E86"/>
    <w:rsid w:val="00F51674"/>
    <w:rsid w:val="00F55314"/>
    <w:rsid w:val="00F60206"/>
    <w:rsid w:val="00FE288A"/>
    <w:rsid w:val="00FE3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03389">
      <w:bodyDiv w:val="1"/>
      <w:marLeft w:val="0"/>
      <w:marRight w:val="0"/>
      <w:marTop w:val="0"/>
      <w:marBottom w:val="0"/>
      <w:divBdr>
        <w:top w:val="none" w:sz="0" w:space="0" w:color="auto"/>
        <w:left w:val="none" w:sz="0" w:space="0" w:color="auto"/>
        <w:bottom w:val="none" w:sz="0" w:space="0" w:color="auto"/>
        <w:right w:val="none" w:sz="0" w:space="0" w:color="auto"/>
      </w:divBdr>
      <w:divsChild>
        <w:div w:id="945113161">
          <w:marLeft w:val="547"/>
          <w:marRight w:val="0"/>
          <w:marTop w:val="0"/>
          <w:marBottom w:val="0"/>
          <w:divBdr>
            <w:top w:val="none" w:sz="0" w:space="0" w:color="auto"/>
            <w:left w:val="none" w:sz="0" w:space="0" w:color="auto"/>
            <w:bottom w:val="none" w:sz="0" w:space="0" w:color="auto"/>
            <w:right w:val="none" w:sz="0" w:space="0" w:color="auto"/>
          </w:divBdr>
        </w:div>
        <w:div w:id="1517883120">
          <w:marLeft w:val="547"/>
          <w:marRight w:val="0"/>
          <w:marTop w:val="0"/>
          <w:marBottom w:val="0"/>
          <w:divBdr>
            <w:top w:val="none" w:sz="0" w:space="0" w:color="auto"/>
            <w:left w:val="none" w:sz="0" w:space="0" w:color="auto"/>
            <w:bottom w:val="none" w:sz="0" w:space="0" w:color="auto"/>
            <w:right w:val="none" w:sz="0" w:space="0" w:color="auto"/>
          </w:divBdr>
        </w:div>
      </w:divsChild>
    </w:div>
    <w:div w:id="1986659977">
      <w:bodyDiv w:val="1"/>
      <w:marLeft w:val="0"/>
      <w:marRight w:val="0"/>
      <w:marTop w:val="0"/>
      <w:marBottom w:val="0"/>
      <w:divBdr>
        <w:top w:val="none" w:sz="0" w:space="0" w:color="auto"/>
        <w:left w:val="none" w:sz="0" w:space="0" w:color="auto"/>
        <w:bottom w:val="none" w:sz="0" w:space="0" w:color="auto"/>
        <w:right w:val="none" w:sz="0" w:space="0" w:color="auto"/>
      </w:divBdr>
      <w:divsChild>
        <w:div w:id="1571382013">
          <w:marLeft w:val="446"/>
          <w:marRight w:val="0"/>
          <w:marTop w:val="67"/>
          <w:marBottom w:val="0"/>
          <w:divBdr>
            <w:top w:val="none" w:sz="0" w:space="0" w:color="auto"/>
            <w:left w:val="none" w:sz="0" w:space="0" w:color="auto"/>
            <w:bottom w:val="none" w:sz="0" w:space="0" w:color="auto"/>
            <w:right w:val="none" w:sz="0" w:space="0" w:color="auto"/>
          </w:divBdr>
        </w:div>
        <w:div w:id="1615594236">
          <w:marLeft w:val="44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9F78-A578-44B7-AF2B-F98969B8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NYAMBAYO, Vhenekayi (HEALTHY LONDON PARTNERSHIP)</dc:creator>
  <cp:lastModifiedBy>Kiran Bhangu</cp:lastModifiedBy>
  <cp:revision>2</cp:revision>
  <cp:lastPrinted>2015-04-01T14:18:00Z</cp:lastPrinted>
  <dcterms:created xsi:type="dcterms:W3CDTF">2018-11-26T14:06:00Z</dcterms:created>
  <dcterms:modified xsi:type="dcterms:W3CDTF">2018-11-26T14:06:00Z</dcterms:modified>
</cp:coreProperties>
</file>