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EF" w:rsidRDefault="00B43C6D" w:rsidP="00CE3FD4">
      <w:pPr>
        <w:pStyle w:val="Transforming-body"/>
        <w:rPr>
          <w:noProof/>
          <w:lang w:eastAsia="en-GB"/>
        </w:rPr>
      </w:pPr>
      <w:r w:rsidRPr="00CE3FD4">
        <w:rPr>
          <w:noProof/>
          <w:lang w:eastAsia="en-GB"/>
        </w:rPr>
        <w:drawing>
          <wp:inline distT="0" distB="0" distL="0" distR="0" wp14:anchorId="22AAA787" wp14:editId="07E9B04D">
            <wp:extent cx="2196935" cy="54923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P logo light blue 2 lin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6E9" w:rsidRDefault="004666E9" w:rsidP="004666E9">
      <w:pPr>
        <w:pStyle w:val="Title"/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t>St Georges Children’s Asthma Pathway</w:t>
      </w:r>
    </w:p>
    <w:bookmarkEnd w:id="0"/>
    <w:p w:rsidR="004666E9" w:rsidRDefault="004666E9" w:rsidP="004666E9">
      <w:pPr>
        <w:pStyle w:val="Subtitle"/>
        <w:rPr>
          <w:noProof/>
          <w:lang w:eastAsia="en-GB"/>
        </w:rPr>
      </w:pPr>
      <w:r>
        <w:rPr>
          <w:noProof/>
          <w:lang w:eastAsia="en-GB"/>
        </w:rPr>
        <w:t>St George’s Hospital</w:t>
      </w:r>
    </w:p>
    <w:p w:rsidR="004666E9" w:rsidRDefault="004666E9" w:rsidP="004666E9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Aims</w:t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 xml:space="preserve">To develop an electronic patient pathway on iCLIP / Powerchart to standardise asthma management for children presenting with acute asthma, ensure appropriate identification of severity and document discharge planning process.  </w:t>
      </w:r>
    </w:p>
    <w:p w:rsidR="004666E9" w:rsidRDefault="004666E9" w:rsidP="004666E9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Rationale</w:t>
      </w:r>
      <w:r>
        <w:rPr>
          <w:noProof/>
          <w:lang w:eastAsia="en-GB"/>
        </w:rPr>
        <w:tab/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We have moved from a paper to paperlite hospital notes system including electronic prescribing for inpatients. This environment should allow a dedicated patient pathway for asthma set to BTS / SIGN asthma criteria.</w:t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Electronic prescribing is complex and a systemtic approach may be time saving.</w:t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BTS audits indicate poor documentation of discharge processes (inhaler technique assessment, smoking cessation, follow up).</w:t>
      </w:r>
    </w:p>
    <w:p w:rsidR="004666E9" w:rsidRDefault="004666E9" w:rsidP="004666E9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Development</w:t>
      </w:r>
      <w:r>
        <w:rPr>
          <w:noProof/>
          <w:lang w:eastAsia="en-GB"/>
        </w:rPr>
        <w:tab/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Work with Cerner team to develop a pathway based on BTS SIGN guidance.</w:t>
      </w:r>
    </w:p>
    <w:p w:rsidR="004666E9" w:rsidRDefault="004666E9" w:rsidP="004666E9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What did we do?</w:t>
      </w:r>
      <w:r>
        <w:rPr>
          <w:noProof/>
          <w:lang w:eastAsia="en-GB"/>
        </w:rPr>
        <w:tab/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 xml:space="preserve">Developed a pathway using iClip / Powerchart. This started with initial assessment of severity of asthma attack with subsequent suggested management. Repeated assessment directs ongoing management. </w:t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Discharge planning directed at main interventions.</w:t>
      </w:r>
    </w:p>
    <w:p w:rsidR="004666E9" w:rsidRDefault="004666E9" w:rsidP="004666E9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Top Tips</w:t>
      </w:r>
      <w:r>
        <w:rPr>
          <w:noProof/>
          <w:lang w:eastAsia="en-GB"/>
        </w:rPr>
        <w:tab/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Cerner staff not clinic and difficult to allow variations for management in a structured pathway. Changes in IT team have delayed final initiation. Changes in BTS pathway will require further re-woking of pathway.</w:t>
      </w:r>
    </w:p>
    <w:p w:rsidR="004666E9" w:rsidRDefault="004666E9" w:rsidP="004666E9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Benefits</w:t>
      </w:r>
      <w:r>
        <w:rPr>
          <w:noProof/>
          <w:lang w:eastAsia="en-GB"/>
        </w:rPr>
        <w:tab/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Should improve consistency in asthma management, reduce preswcribing errors, reduce number of inappropriate investigations and improve discharge planning and follow up.</w:t>
      </w:r>
    </w:p>
    <w:p w:rsidR="004666E9" w:rsidRDefault="004666E9" w:rsidP="004666E9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Sustainability</w:t>
      </w:r>
      <w:r>
        <w:rPr>
          <w:noProof/>
          <w:lang w:eastAsia="en-GB"/>
        </w:rPr>
        <w:tab/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Should be self sustaining with training</w:t>
      </w:r>
    </w:p>
    <w:p w:rsidR="004666E9" w:rsidRDefault="004666E9" w:rsidP="004666E9">
      <w:pPr>
        <w:pStyle w:val="Heading1"/>
        <w:rPr>
          <w:noProof/>
          <w:lang w:eastAsia="en-GB"/>
        </w:rPr>
      </w:pPr>
      <w:r>
        <w:rPr>
          <w:noProof/>
          <w:lang w:eastAsia="en-GB"/>
        </w:rPr>
        <w:t>Contact</w:t>
      </w:r>
      <w:r>
        <w:rPr>
          <w:noProof/>
          <w:lang w:eastAsia="en-GB"/>
        </w:rPr>
        <w:tab/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Richard Chavasse</w:t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rchavasse@nhs.net</w:t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St Georges Hospital, Blackshaw Road, London SW17 0QT</w:t>
      </w:r>
    </w:p>
    <w:p w:rsidR="004666E9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>0208 725 2102 (secretary)</w:t>
      </w:r>
    </w:p>
    <w:p w:rsidR="00907916" w:rsidRDefault="004666E9" w:rsidP="004666E9">
      <w:pPr>
        <w:pStyle w:val="Transforming-body"/>
        <w:rPr>
          <w:noProof/>
          <w:lang w:eastAsia="en-GB"/>
        </w:rPr>
      </w:pPr>
      <w:r>
        <w:rPr>
          <w:noProof/>
          <w:lang w:eastAsia="en-GB"/>
        </w:rPr>
        <w:tab/>
      </w:r>
    </w:p>
    <w:sectPr w:rsidR="00907916" w:rsidSect="002353AF">
      <w:headerReference w:type="default" r:id="rId10"/>
      <w:footerReference w:type="default" r:id="rId11"/>
      <w:footerReference w:type="first" r:id="rId12"/>
      <w:pgSz w:w="11906" w:h="16838" w:code="9"/>
      <w:pgMar w:top="1247" w:right="1247" w:bottom="851" w:left="1247" w:header="709" w:footer="2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DD" w:rsidRDefault="00484CDD" w:rsidP="004850ED">
      <w:pPr>
        <w:spacing w:after="0" w:line="240" w:lineRule="auto"/>
      </w:pPr>
      <w:r>
        <w:separator/>
      </w:r>
    </w:p>
  </w:endnote>
  <w:endnote w:type="continuationSeparator" w:id="0">
    <w:p w:rsidR="00484CDD" w:rsidRDefault="00484CDD" w:rsidP="0048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single" w:sz="4" w:space="0" w:color="0070C0"/>
        <w:left w:val="none" w:sz="0" w:space="0" w:color="auto"/>
        <w:bottom w:val="single" w:sz="4" w:space="0" w:color="0070C0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7"/>
      <w:gridCol w:w="873"/>
    </w:tblGrid>
    <w:tr w:rsidR="00484CDD" w:rsidTr="00484CDD">
      <w:trPr>
        <w:trHeight w:val="340"/>
      </w:trPr>
      <w:tc>
        <w:tcPr>
          <w:tcW w:w="8647" w:type="dxa"/>
          <w:vAlign w:val="center"/>
        </w:tcPr>
        <w:p w:rsidR="00484CDD" w:rsidRPr="00CE3FD4" w:rsidRDefault="00484CDD" w:rsidP="00484CDD">
          <w:pPr>
            <w:pStyle w:val="Footer"/>
            <w:rPr>
              <w:i/>
              <w:color w:val="0070C0"/>
              <w:sz w:val="16"/>
              <w:szCs w:val="16"/>
            </w:rPr>
          </w:pPr>
          <w:r w:rsidRPr="00CE3FD4">
            <w:rPr>
              <w:i/>
              <w:color w:val="0070C0"/>
              <w:sz w:val="16"/>
              <w:szCs w:val="16"/>
            </w:rPr>
            <w:t>Supported by and delivering for London’s NHS, London Councils, Public Health England and the Mayor of London</w:t>
          </w:r>
        </w:p>
      </w:tc>
      <w:tc>
        <w:tcPr>
          <w:tcW w:w="873" w:type="dxa"/>
          <w:vAlign w:val="center"/>
        </w:tcPr>
        <w:p w:rsidR="00484CDD" w:rsidRPr="002D1B18" w:rsidRDefault="00484CDD" w:rsidP="00484CDD">
          <w:pPr>
            <w:pStyle w:val="Footer"/>
            <w:jc w:val="right"/>
            <w:rPr>
              <w:i/>
              <w:color w:val="0070C0"/>
              <w:sz w:val="20"/>
              <w:szCs w:val="20"/>
            </w:rPr>
          </w:pPr>
          <w:r>
            <w:rPr>
              <w:i/>
              <w:color w:val="0070C0"/>
              <w:sz w:val="20"/>
              <w:szCs w:val="20"/>
            </w:rPr>
            <w:fldChar w:fldCharType="begin"/>
          </w:r>
          <w:r>
            <w:rPr>
              <w:i/>
              <w:color w:val="0070C0"/>
              <w:sz w:val="20"/>
              <w:szCs w:val="20"/>
            </w:rPr>
            <w:instrText xml:space="preserve"> PAGE  \* Arabic  \* MERGEFORMAT </w:instrText>
          </w:r>
          <w:r>
            <w:rPr>
              <w:i/>
              <w:color w:val="0070C0"/>
              <w:sz w:val="20"/>
              <w:szCs w:val="20"/>
            </w:rPr>
            <w:fldChar w:fldCharType="separate"/>
          </w:r>
          <w:r w:rsidR="004666E9">
            <w:rPr>
              <w:i/>
              <w:noProof/>
              <w:color w:val="0070C0"/>
              <w:sz w:val="20"/>
              <w:szCs w:val="20"/>
            </w:rPr>
            <w:t>2</w:t>
          </w:r>
          <w:r>
            <w:rPr>
              <w:i/>
              <w:color w:val="0070C0"/>
              <w:sz w:val="20"/>
              <w:szCs w:val="20"/>
            </w:rPr>
            <w:fldChar w:fldCharType="end"/>
          </w:r>
        </w:p>
      </w:tc>
    </w:tr>
  </w:tbl>
  <w:p w:rsidR="00484CDD" w:rsidRDefault="00484CDD" w:rsidP="00701A43">
    <w:pPr>
      <w:pStyle w:val="Footer"/>
      <w:jc w:val="center"/>
    </w:pPr>
  </w:p>
  <w:p w:rsidR="00484CDD" w:rsidRDefault="00484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95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4CDD" w:rsidRDefault="00484CDD">
        <w:pPr>
          <w:pStyle w:val="Footer"/>
          <w:jc w:val="center"/>
        </w:pPr>
      </w:p>
      <w:tbl>
        <w:tblPr>
          <w:tblStyle w:val="TableGrid"/>
          <w:tblW w:w="0" w:type="auto"/>
          <w:tblInd w:w="108" w:type="dxa"/>
          <w:tblBorders>
            <w:top w:val="single" w:sz="4" w:space="0" w:color="0070C0"/>
            <w:left w:val="none" w:sz="0" w:space="0" w:color="auto"/>
            <w:bottom w:val="single" w:sz="4" w:space="0" w:color="0070C0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647"/>
          <w:gridCol w:w="873"/>
        </w:tblGrid>
        <w:tr w:rsidR="00484CDD" w:rsidTr="00484CDD">
          <w:trPr>
            <w:trHeight w:val="340"/>
          </w:trPr>
          <w:tc>
            <w:tcPr>
              <w:tcW w:w="8647" w:type="dxa"/>
              <w:vAlign w:val="center"/>
            </w:tcPr>
            <w:p w:rsidR="00484CDD" w:rsidRPr="002D1B18" w:rsidRDefault="00484CDD" w:rsidP="00484CDD">
              <w:pPr>
                <w:pStyle w:val="Footer"/>
                <w:ind w:left="-142"/>
                <w:rPr>
                  <w:i/>
                  <w:color w:val="0070C0"/>
                  <w:sz w:val="20"/>
                  <w:szCs w:val="20"/>
                </w:rPr>
              </w:pPr>
              <w:r w:rsidRPr="002D1B18">
                <w:rPr>
                  <w:i/>
                  <w:color w:val="0070C0"/>
                  <w:sz w:val="20"/>
                  <w:szCs w:val="20"/>
                </w:rPr>
                <w:t>Supported by and delivering for London’s NHS, Public Health England and the Mayor of London</w:t>
              </w:r>
            </w:p>
          </w:tc>
          <w:tc>
            <w:tcPr>
              <w:tcW w:w="873" w:type="dxa"/>
              <w:vAlign w:val="center"/>
            </w:tcPr>
            <w:p w:rsidR="00484CDD" w:rsidRPr="002D1B18" w:rsidRDefault="00484CDD" w:rsidP="00484CDD">
              <w:pPr>
                <w:pStyle w:val="Footer"/>
                <w:jc w:val="right"/>
                <w:rPr>
                  <w:i/>
                  <w:color w:val="0070C0"/>
                  <w:sz w:val="20"/>
                  <w:szCs w:val="20"/>
                </w:rPr>
              </w:pPr>
              <w:r>
                <w:rPr>
                  <w:i/>
                  <w:color w:val="0070C0"/>
                  <w:sz w:val="20"/>
                  <w:szCs w:val="20"/>
                </w:rPr>
                <w:fldChar w:fldCharType="begin"/>
              </w:r>
              <w:r>
                <w:rPr>
                  <w:i/>
                  <w:color w:val="0070C0"/>
                  <w:sz w:val="20"/>
                  <w:szCs w:val="20"/>
                </w:rPr>
                <w:instrText xml:space="preserve"> PAGE  \* Arabic  \* MERGEFORMAT </w:instrText>
              </w:r>
              <w:r>
                <w:rPr>
                  <w:i/>
                  <w:color w:val="0070C0"/>
                  <w:sz w:val="20"/>
                  <w:szCs w:val="20"/>
                </w:rPr>
                <w:fldChar w:fldCharType="separate"/>
              </w:r>
              <w:r>
                <w:rPr>
                  <w:i/>
                  <w:noProof/>
                  <w:color w:val="0070C0"/>
                  <w:sz w:val="20"/>
                  <w:szCs w:val="20"/>
                </w:rPr>
                <w:t>1</w:t>
              </w:r>
              <w:r>
                <w:rPr>
                  <w:i/>
                  <w:color w:val="0070C0"/>
                  <w:sz w:val="20"/>
                  <w:szCs w:val="20"/>
                </w:rPr>
                <w:fldChar w:fldCharType="end"/>
              </w:r>
            </w:p>
          </w:tc>
        </w:tr>
      </w:tbl>
      <w:p w:rsidR="00484CDD" w:rsidRDefault="00484CDD">
        <w:pPr>
          <w:pStyle w:val="Footer"/>
          <w:jc w:val="center"/>
        </w:pPr>
      </w:p>
      <w:p w:rsidR="00484CDD" w:rsidRDefault="004666E9" w:rsidP="002353AF">
        <w:pPr>
          <w:pStyle w:val="Footer"/>
        </w:pPr>
      </w:p>
    </w:sdtContent>
  </w:sdt>
  <w:p w:rsidR="00484CDD" w:rsidRDefault="00484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DD" w:rsidRDefault="00484CDD" w:rsidP="004850ED">
      <w:pPr>
        <w:spacing w:after="0" w:line="240" w:lineRule="auto"/>
      </w:pPr>
      <w:r>
        <w:separator/>
      </w:r>
    </w:p>
  </w:footnote>
  <w:footnote w:type="continuationSeparator" w:id="0">
    <w:p w:rsidR="00484CDD" w:rsidRDefault="00484CDD" w:rsidP="0048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D" w:rsidRPr="00F55314" w:rsidRDefault="004666E9" w:rsidP="00CE3FD4">
    <w:pPr>
      <w:pStyle w:val="Header"/>
      <w:pBdr>
        <w:bottom w:val="single" w:sz="4" w:space="1" w:color="0072C6"/>
      </w:pBdr>
      <w:tabs>
        <w:tab w:val="clear" w:pos="4513"/>
        <w:tab w:val="clear" w:pos="9026"/>
        <w:tab w:val="left" w:pos="8647"/>
      </w:tabs>
      <w:rPr>
        <w:color w:val="595959" w:themeColor="text1" w:themeTint="A6"/>
      </w:rPr>
    </w:pPr>
    <w:r w:rsidRPr="004666E9">
      <w:rPr>
        <w:b/>
        <w:i/>
      </w:rPr>
      <w:t>St Georges Children’s Asthma Pathway</w:t>
    </w:r>
    <w:r w:rsidR="00F16A09">
      <w:rPr>
        <w:b/>
        <w:i/>
      </w:rPr>
      <w:t>:</w:t>
    </w:r>
    <w:r w:rsidR="00C326FD" w:rsidRPr="007F1D80">
      <w:rPr>
        <w:rFonts w:cs="Arial"/>
        <w:b/>
        <w:i/>
        <w:color w:val="404040" w:themeColor="text1" w:themeTint="BF"/>
      </w:rPr>
      <w:t xml:space="preserve"> case study</w:t>
    </w:r>
    <w:r w:rsidR="00484CDD" w:rsidRPr="00F55314">
      <w:rPr>
        <w:color w:val="595959" w:themeColor="text1" w:themeTint="A6"/>
      </w:rPr>
      <w:tab/>
    </w:r>
    <w:r w:rsidR="00484CDD">
      <w:rPr>
        <w:color w:val="595959" w:themeColor="text1" w:themeTint="A6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86A"/>
    <w:multiLevelType w:val="hybridMultilevel"/>
    <w:tmpl w:val="FCBE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2514"/>
    <w:multiLevelType w:val="hybridMultilevel"/>
    <w:tmpl w:val="3D985D7E"/>
    <w:lvl w:ilvl="0" w:tplc="5CAEF178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12A3B"/>
    <w:multiLevelType w:val="hybridMultilevel"/>
    <w:tmpl w:val="7C962C44"/>
    <w:lvl w:ilvl="0" w:tplc="AA945F1C">
      <w:start w:val="1"/>
      <w:numFmt w:val="bullet"/>
      <w:pStyle w:val="HLPbullet2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52C07"/>
    <w:multiLevelType w:val="hybridMultilevel"/>
    <w:tmpl w:val="96663478"/>
    <w:lvl w:ilvl="0" w:tplc="B45CC05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11B5C"/>
    <w:multiLevelType w:val="hybridMultilevel"/>
    <w:tmpl w:val="79926AE4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0DBF092E"/>
    <w:multiLevelType w:val="hybridMultilevel"/>
    <w:tmpl w:val="B178D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161C3"/>
    <w:multiLevelType w:val="hybridMultilevel"/>
    <w:tmpl w:val="F1C0FB62"/>
    <w:lvl w:ilvl="0" w:tplc="0809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1E1C"/>
    <w:multiLevelType w:val="hybridMultilevel"/>
    <w:tmpl w:val="C480F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0389A"/>
    <w:multiLevelType w:val="hybridMultilevel"/>
    <w:tmpl w:val="FFF0568A"/>
    <w:lvl w:ilvl="0" w:tplc="70FE2D0A">
      <w:start w:val="1"/>
      <w:numFmt w:val="bullet"/>
      <w:pStyle w:val="HLP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B3DD1"/>
    <w:multiLevelType w:val="hybridMultilevel"/>
    <w:tmpl w:val="7024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D7350"/>
    <w:multiLevelType w:val="hybridMultilevel"/>
    <w:tmpl w:val="19D8E0BE"/>
    <w:lvl w:ilvl="0" w:tplc="4BBAB5E4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331B61"/>
    <w:multiLevelType w:val="hybridMultilevel"/>
    <w:tmpl w:val="1078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D54202"/>
    <w:multiLevelType w:val="hybridMultilevel"/>
    <w:tmpl w:val="FBEAF8F2"/>
    <w:lvl w:ilvl="0" w:tplc="42CE6E8A">
      <w:start w:val="3"/>
      <w:numFmt w:val="bullet"/>
      <w:lvlText w:val="-"/>
      <w:lvlJc w:val="left"/>
      <w:pPr>
        <w:ind w:left="42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3">
    <w:nsid w:val="32EF2DFF"/>
    <w:multiLevelType w:val="hybridMultilevel"/>
    <w:tmpl w:val="922633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6034392"/>
    <w:multiLevelType w:val="hybridMultilevel"/>
    <w:tmpl w:val="1B14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47242"/>
    <w:multiLevelType w:val="hybridMultilevel"/>
    <w:tmpl w:val="1F14ABAC"/>
    <w:lvl w:ilvl="0" w:tplc="B45CC05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377BE"/>
    <w:multiLevelType w:val="hybridMultilevel"/>
    <w:tmpl w:val="0FE8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D0134"/>
    <w:multiLevelType w:val="hybridMultilevel"/>
    <w:tmpl w:val="CF5A61BA"/>
    <w:lvl w:ilvl="0" w:tplc="B45CC05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30FF4"/>
    <w:multiLevelType w:val="hybridMultilevel"/>
    <w:tmpl w:val="A7E46708"/>
    <w:lvl w:ilvl="0" w:tplc="E25A26FA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069EC"/>
    <w:multiLevelType w:val="hybridMultilevel"/>
    <w:tmpl w:val="C152097C"/>
    <w:lvl w:ilvl="0" w:tplc="B45CC05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C734EB"/>
    <w:multiLevelType w:val="hybridMultilevel"/>
    <w:tmpl w:val="80EA02C6"/>
    <w:lvl w:ilvl="0" w:tplc="B45CC05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02F98"/>
    <w:multiLevelType w:val="hybridMultilevel"/>
    <w:tmpl w:val="37424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8C4CB7"/>
    <w:multiLevelType w:val="hybridMultilevel"/>
    <w:tmpl w:val="B2305730"/>
    <w:lvl w:ilvl="0" w:tplc="B45CC05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E1380"/>
    <w:multiLevelType w:val="hybridMultilevel"/>
    <w:tmpl w:val="8A404E0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41E88"/>
    <w:multiLevelType w:val="hybridMultilevel"/>
    <w:tmpl w:val="1B2A5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B00BC4"/>
    <w:multiLevelType w:val="hybridMultilevel"/>
    <w:tmpl w:val="2D824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F77183"/>
    <w:multiLevelType w:val="hybridMultilevel"/>
    <w:tmpl w:val="DD96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76D93"/>
    <w:multiLevelType w:val="hybridMultilevel"/>
    <w:tmpl w:val="EC2E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61396"/>
    <w:multiLevelType w:val="hybridMultilevel"/>
    <w:tmpl w:val="F602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5205B"/>
    <w:multiLevelType w:val="hybridMultilevel"/>
    <w:tmpl w:val="1B5846E4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8A3E2F"/>
    <w:multiLevelType w:val="hybridMultilevel"/>
    <w:tmpl w:val="B56203A6"/>
    <w:lvl w:ilvl="0" w:tplc="4BBAB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B61806"/>
    <w:multiLevelType w:val="hybridMultilevel"/>
    <w:tmpl w:val="C4543E0C"/>
    <w:lvl w:ilvl="0" w:tplc="B45CC05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A27AB"/>
    <w:multiLevelType w:val="hybridMultilevel"/>
    <w:tmpl w:val="00924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F1055"/>
    <w:multiLevelType w:val="hybridMultilevel"/>
    <w:tmpl w:val="AA1A1ECA"/>
    <w:lvl w:ilvl="0" w:tplc="B45CC05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B1109F"/>
    <w:multiLevelType w:val="hybridMultilevel"/>
    <w:tmpl w:val="AFA28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131D9D"/>
    <w:multiLevelType w:val="hybridMultilevel"/>
    <w:tmpl w:val="1E62F46A"/>
    <w:lvl w:ilvl="0" w:tplc="CCFEDD16">
      <w:numFmt w:val="bullet"/>
      <w:lvlText w:val="-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4370AA"/>
    <w:multiLevelType w:val="hybridMultilevel"/>
    <w:tmpl w:val="1324C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CD0D98"/>
    <w:multiLevelType w:val="hybridMultilevel"/>
    <w:tmpl w:val="63DA13AE"/>
    <w:lvl w:ilvl="0" w:tplc="4BBAB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CF5C71"/>
    <w:multiLevelType w:val="hybridMultilevel"/>
    <w:tmpl w:val="B23A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3711C"/>
    <w:multiLevelType w:val="hybridMultilevel"/>
    <w:tmpl w:val="1EA4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005059"/>
    <w:multiLevelType w:val="hybridMultilevel"/>
    <w:tmpl w:val="473C4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71155"/>
    <w:multiLevelType w:val="hybridMultilevel"/>
    <w:tmpl w:val="094CF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D676E"/>
    <w:multiLevelType w:val="hybridMultilevel"/>
    <w:tmpl w:val="B40C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42"/>
  </w:num>
  <w:num w:numId="4">
    <w:abstractNumId w:val="2"/>
  </w:num>
  <w:num w:numId="5">
    <w:abstractNumId w:val="5"/>
  </w:num>
  <w:num w:numId="6">
    <w:abstractNumId w:val="11"/>
  </w:num>
  <w:num w:numId="7">
    <w:abstractNumId w:val="28"/>
  </w:num>
  <w:num w:numId="8">
    <w:abstractNumId w:val="38"/>
  </w:num>
  <w:num w:numId="9">
    <w:abstractNumId w:val="0"/>
  </w:num>
  <w:num w:numId="10">
    <w:abstractNumId w:val="41"/>
  </w:num>
  <w:num w:numId="11">
    <w:abstractNumId w:val="9"/>
  </w:num>
  <w:num w:numId="12">
    <w:abstractNumId w:val="34"/>
  </w:num>
  <w:num w:numId="13">
    <w:abstractNumId w:val="32"/>
  </w:num>
  <w:num w:numId="14">
    <w:abstractNumId w:val="25"/>
  </w:num>
  <w:num w:numId="15">
    <w:abstractNumId w:val="39"/>
  </w:num>
  <w:num w:numId="16">
    <w:abstractNumId w:val="40"/>
  </w:num>
  <w:num w:numId="17">
    <w:abstractNumId w:val="35"/>
  </w:num>
  <w:num w:numId="18">
    <w:abstractNumId w:val="29"/>
  </w:num>
  <w:num w:numId="19">
    <w:abstractNumId w:val="24"/>
  </w:num>
  <w:num w:numId="20">
    <w:abstractNumId w:val="18"/>
  </w:num>
  <w:num w:numId="21">
    <w:abstractNumId w:val="23"/>
  </w:num>
  <w:num w:numId="22">
    <w:abstractNumId w:val="16"/>
  </w:num>
  <w:num w:numId="23">
    <w:abstractNumId w:val="4"/>
  </w:num>
  <w:num w:numId="24">
    <w:abstractNumId w:val="6"/>
  </w:num>
  <w:num w:numId="25">
    <w:abstractNumId w:val="12"/>
  </w:num>
  <w:num w:numId="26">
    <w:abstractNumId w:val="13"/>
  </w:num>
  <w:num w:numId="27">
    <w:abstractNumId w:val="7"/>
  </w:num>
  <w:num w:numId="28">
    <w:abstractNumId w:val="21"/>
  </w:num>
  <w:num w:numId="29">
    <w:abstractNumId w:val="27"/>
  </w:num>
  <w:num w:numId="30">
    <w:abstractNumId w:val="20"/>
  </w:num>
  <w:num w:numId="31">
    <w:abstractNumId w:val="17"/>
  </w:num>
  <w:num w:numId="32">
    <w:abstractNumId w:val="3"/>
  </w:num>
  <w:num w:numId="33">
    <w:abstractNumId w:val="31"/>
  </w:num>
  <w:num w:numId="34">
    <w:abstractNumId w:val="19"/>
  </w:num>
  <w:num w:numId="35">
    <w:abstractNumId w:val="15"/>
  </w:num>
  <w:num w:numId="36">
    <w:abstractNumId w:val="33"/>
  </w:num>
  <w:num w:numId="37">
    <w:abstractNumId w:val="22"/>
  </w:num>
  <w:num w:numId="38">
    <w:abstractNumId w:val="37"/>
  </w:num>
  <w:num w:numId="39">
    <w:abstractNumId w:val="1"/>
  </w:num>
  <w:num w:numId="40">
    <w:abstractNumId w:val="10"/>
  </w:num>
  <w:num w:numId="41">
    <w:abstractNumId w:val="30"/>
  </w:num>
  <w:num w:numId="42">
    <w:abstractNumId w:val="26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43"/>
    <w:rsid w:val="001B4896"/>
    <w:rsid w:val="001D64A0"/>
    <w:rsid w:val="001E0FE0"/>
    <w:rsid w:val="001F32B1"/>
    <w:rsid w:val="002353AF"/>
    <w:rsid w:val="00305B4C"/>
    <w:rsid w:val="004666E9"/>
    <w:rsid w:val="00484CDD"/>
    <w:rsid w:val="004850ED"/>
    <w:rsid w:val="004D7748"/>
    <w:rsid w:val="00632EA0"/>
    <w:rsid w:val="0066175F"/>
    <w:rsid w:val="00695C6D"/>
    <w:rsid w:val="00701A43"/>
    <w:rsid w:val="007F1D80"/>
    <w:rsid w:val="008F6E4F"/>
    <w:rsid w:val="00907916"/>
    <w:rsid w:val="00916DAF"/>
    <w:rsid w:val="009426EF"/>
    <w:rsid w:val="00951299"/>
    <w:rsid w:val="00990F74"/>
    <w:rsid w:val="009E0C01"/>
    <w:rsid w:val="00B00098"/>
    <w:rsid w:val="00B07CA0"/>
    <w:rsid w:val="00B13CF4"/>
    <w:rsid w:val="00B43C6D"/>
    <w:rsid w:val="00BD1355"/>
    <w:rsid w:val="00BE6A88"/>
    <w:rsid w:val="00C326FD"/>
    <w:rsid w:val="00CE3FD4"/>
    <w:rsid w:val="00E60413"/>
    <w:rsid w:val="00E75451"/>
    <w:rsid w:val="00E93404"/>
    <w:rsid w:val="00EC1E86"/>
    <w:rsid w:val="00F16A09"/>
    <w:rsid w:val="00F31999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51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451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451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51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-body">
    <w:name w:val="HLP-body"/>
    <w:basedOn w:val="Normal"/>
    <w:qFormat/>
    <w:rsid w:val="00E75451"/>
    <w:pPr>
      <w:spacing w:before="120" w:after="240"/>
    </w:pPr>
    <w:rPr>
      <w:color w:val="404040" w:themeColor="text1" w:themeTint="BF"/>
    </w:rPr>
  </w:style>
  <w:style w:type="paragraph" w:customStyle="1" w:styleId="HLPbullet1">
    <w:name w:val="HLP bullet 1"/>
    <w:basedOn w:val="HLP-body"/>
    <w:qFormat/>
    <w:rsid w:val="00E75451"/>
    <w:pPr>
      <w:numPr>
        <w:numId w:val="2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E75451"/>
    <w:pPr>
      <w:numPr>
        <w:numId w:val="4"/>
      </w:numPr>
      <w:spacing w:after="120"/>
      <w:ind w:left="1276" w:hanging="357"/>
    </w:pPr>
  </w:style>
  <w:style w:type="table" w:customStyle="1" w:styleId="TableGrid11">
    <w:name w:val="Table Grid11"/>
    <w:basedOn w:val="TableNormal"/>
    <w:next w:val="TableGrid"/>
    <w:rsid w:val="00CE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lfld-contribauthor">
    <w:name w:val="hlfld-contribauthor"/>
    <w:basedOn w:val="DefaultParagraphFont"/>
    <w:rsid w:val="00484CDD"/>
  </w:style>
  <w:style w:type="character" w:customStyle="1" w:styleId="nlmgiven-names">
    <w:name w:val="nlm_given-names"/>
    <w:basedOn w:val="DefaultParagraphFont"/>
    <w:rsid w:val="00484CDD"/>
  </w:style>
  <w:style w:type="character" w:customStyle="1" w:styleId="nlmarticle-title">
    <w:name w:val="nlm_article-title"/>
    <w:basedOn w:val="DefaultParagraphFont"/>
    <w:rsid w:val="00484CDD"/>
  </w:style>
  <w:style w:type="character" w:customStyle="1" w:styleId="nlmyear">
    <w:name w:val="nlm_year"/>
    <w:basedOn w:val="DefaultParagraphFont"/>
    <w:rsid w:val="00484CDD"/>
  </w:style>
  <w:style w:type="character" w:customStyle="1" w:styleId="nlmfpage">
    <w:name w:val="nlm_fpage"/>
    <w:basedOn w:val="DefaultParagraphFont"/>
    <w:rsid w:val="00484CDD"/>
  </w:style>
  <w:style w:type="character" w:customStyle="1" w:styleId="nlmlpage">
    <w:name w:val="nlm_lpage"/>
    <w:basedOn w:val="DefaultParagraphFont"/>
    <w:rsid w:val="00484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451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5451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75451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5451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-body">
    <w:name w:val="HLP-body"/>
    <w:basedOn w:val="Normal"/>
    <w:qFormat/>
    <w:rsid w:val="00E75451"/>
    <w:pPr>
      <w:spacing w:before="120" w:after="240"/>
    </w:pPr>
    <w:rPr>
      <w:color w:val="404040" w:themeColor="text1" w:themeTint="BF"/>
    </w:rPr>
  </w:style>
  <w:style w:type="paragraph" w:customStyle="1" w:styleId="HLPbullet1">
    <w:name w:val="HLP bullet 1"/>
    <w:basedOn w:val="HLP-body"/>
    <w:qFormat/>
    <w:rsid w:val="00E75451"/>
    <w:pPr>
      <w:numPr>
        <w:numId w:val="2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E75451"/>
    <w:pPr>
      <w:numPr>
        <w:numId w:val="4"/>
      </w:numPr>
      <w:spacing w:after="120"/>
      <w:ind w:left="1276" w:hanging="357"/>
    </w:pPr>
  </w:style>
  <w:style w:type="table" w:customStyle="1" w:styleId="TableGrid11">
    <w:name w:val="Table Grid11"/>
    <w:basedOn w:val="TableNormal"/>
    <w:next w:val="TableGrid"/>
    <w:rsid w:val="00CE3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4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lfld-contribauthor">
    <w:name w:val="hlfld-contribauthor"/>
    <w:basedOn w:val="DefaultParagraphFont"/>
    <w:rsid w:val="00484CDD"/>
  </w:style>
  <w:style w:type="character" w:customStyle="1" w:styleId="nlmgiven-names">
    <w:name w:val="nlm_given-names"/>
    <w:basedOn w:val="DefaultParagraphFont"/>
    <w:rsid w:val="00484CDD"/>
  </w:style>
  <w:style w:type="character" w:customStyle="1" w:styleId="nlmarticle-title">
    <w:name w:val="nlm_article-title"/>
    <w:basedOn w:val="DefaultParagraphFont"/>
    <w:rsid w:val="00484CDD"/>
  </w:style>
  <w:style w:type="character" w:customStyle="1" w:styleId="nlmyear">
    <w:name w:val="nlm_year"/>
    <w:basedOn w:val="DefaultParagraphFont"/>
    <w:rsid w:val="00484CDD"/>
  </w:style>
  <w:style w:type="character" w:customStyle="1" w:styleId="nlmfpage">
    <w:name w:val="nlm_fpage"/>
    <w:basedOn w:val="DefaultParagraphFont"/>
    <w:rsid w:val="00484CDD"/>
  </w:style>
  <w:style w:type="character" w:customStyle="1" w:styleId="nlmlpage">
    <w:name w:val="nlm_lpage"/>
    <w:basedOn w:val="DefaultParagraphFont"/>
    <w:rsid w:val="0048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C104-28E9-43B7-AC2E-F43D746B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Boyle</dc:creator>
  <cp:lastModifiedBy>Kim Boyle</cp:lastModifiedBy>
  <cp:revision>2</cp:revision>
  <cp:lastPrinted>2015-04-01T14:18:00Z</cp:lastPrinted>
  <dcterms:created xsi:type="dcterms:W3CDTF">2018-08-06T16:27:00Z</dcterms:created>
  <dcterms:modified xsi:type="dcterms:W3CDTF">2018-08-06T16:27:00Z</dcterms:modified>
</cp:coreProperties>
</file>