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EF" w:rsidRDefault="00B43C6D" w:rsidP="00CE3FD4">
      <w:pPr>
        <w:pStyle w:val="Transforming-body"/>
        <w:rPr>
          <w:noProof/>
          <w:lang w:eastAsia="en-GB"/>
        </w:rPr>
      </w:pPr>
      <w:r w:rsidRPr="00CE3FD4">
        <w:rPr>
          <w:noProof/>
          <w:lang w:eastAsia="en-GB"/>
        </w:rPr>
        <w:drawing>
          <wp:inline distT="0" distB="0" distL="0" distR="0" wp14:anchorId="22AAA787" wp14:editId="07E9B04D">
            <wp:extent cx="2196935" cy="54923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80" w:rsidRDefault="007F1D80" w:rsidP="007F1D80">
      <w:pPr>
        <w:pStyle w:val="Transforming-body"/>
        <w:rPr>
          <w:noProof/>
          <w:lang w:eastAsia="en-GB"/>
        </w:rPr>
      </w:pPr>
    </w:p>
    <w:p w:rsidR="007F1D80" w:rsidRDefault="007F1D80" w:rsidP="007F1D80">
      <w:pPr>
        <w:pStyle w:val="Title"/>
        <w:rPr>
          <w:noProof/>
          <w:lang w:eastAsia="en-GB"/>
        </w:rPr>
      </w:pPr>
      <w:r>
        <w:rPr>
          <w:noProof/>
          <w:lang w:eastAsia="en-GB"/>
        </w:rPr>
        <w:t>SWL CYP Network – Long Term Conditions Workstream</w:t>
      </w:r>
    </w:p>
    <w:p w:rsidR="007F1D80" w:rsidRDefault="007F1D80" w:rsidP="007F1D80">
      <w:pPr>
        <w:pStyle w:val="Subtitle"/>
        <w:rPr>
          <w:noProof/>
          <w:lang w:eastAsia="en-GB"/>
        </w:rPr>
      </w:pPr>
      <w:r>
        <w:rPr>
          <w:noProof/>
          <w:lang w:eastAsia="en-GB"/>
        </w:rPr>
        <w:t>SW London Collaborative Commissioning</w:t>
      </w:r>
      <w:r>
        <w:rPr>
          <w:noProof/>
          <w:lang w:eastAsia="en-GB"/>
        </w:rPr>
        <w:t xml:space="preserve">: </w:t>
      </w:r>
      <w:r>
        <w:rPr>
          <w:noProof/>
          <w:lang w:eastAsia="en-GB"/>
        </w:rPr>
        <w:t xml:space="preserve">Wandsworth, Croydon, Merton, Sutton, Kingston and Richmond 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Aims</w:t>
      </w:r>
      <w:r>
        <w:rPr>
          <w:noProof/>
          <w:lang w:eastAsia="en-GB"/>
        </w:rPr>
        <w:tab/>
      </w:r>
    </w:p>
    <w:p w:rsidR="007F1D80" w:rsidRDefault="007F1D80" w:rsidP="007F1D80">
      <w:pPr>
        <w:pStyle w:val="Transforming-body"/>
        <w:numPr>
          <w:ilvl w:val="0"/>
          <w:numId w:val="22"/>
        </w:numPr>
        <w:ind w:left="714" w:hanging="357"/>
        <w:contextualSpacing/>
        <w:rPr>
          <w:noProof/>
          <w:lang w:eastAsia="en-GB"/>
        </w:rPr>
      </w:pPr>
      <w:r>
        <w:rPr>
          <w:noProof/>
          <w:lang w:eastAsia="en-GB"/>
        </w:rPr>
        <w:t>To identify areas of good practice within sector</w:t>
      </w:r>
    </w:p>
    <w:p w:rsidR="007F1D80" w:rsidRDefault="007F1D80" w:rsidP="007F1D80">
      <w:pPr>
        <w:pStyle w:val="Transforming-body"/>
        <w:numPr>
          <w:ilvl w:val="0"/>
          <w:numId w:val="22"/>
        </w:numPr>
        <w:ind w:left="714" w:hanging="357"/>
        <w:contextualSpacing/>
        <w:rPr>
          <w:noProof/>
          <w:lang w:eastAsia="en-GB"/>
        </w:rPr>
      </w:pPr>
      <w:r>
        <w:rPr>
          <w:noProof/>
          <w:lang w:eastAsia="en-GB"/>
        </w:rPr>
        <w:t>To map services to developing London Asthma Standards</w:t>
      </w:r>
    </w:p>
    <w:p w:rsidR="007F1D80" w:rsidRDefault="007F1D80" w:rsidP="007F1D80">
      <w:pPr>
        <w:pStyle w:val="Transforming-body"/>
        <w:numPr>
          <w:ilvl w:val="0"/>
          <w:numId w:val="22"/>
        </w:numPr>
        <w:ind w:left="714" w:hanging="357"/>
        <w:contextualSpacing/>
        <w:rPr>
          <w:noProof/>
          <w:lang w:eastAsia="en-GB"/>
        </w:rPr>
      </w:pPr>
      <w:r>
        <w:rPr>
          <w:noProof/>
          <w:lang w:eastAsia="en-GB"/>
        </w:rPr>
        <w:t xml:space="preserve">To develop systems and education to improve consistency of asthma services within the sector. 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Rationale</w:t>
      </w:r>
      <w:r>
        <w:rPr>
          <w:noProof/>
          <w:lang w:eastAsia="en-GB"/>
        </w:rPr>
        <w:tab/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Local review indicated a large variation in performance between and within boroughs.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What did we do?</w:t>
      </w:r>
      <w:r>
        <w:rPr>
          <w:noProof/>
          <w:lang w:eastAsia="en-GB"/>
        </w:rPr>
        <w:tab/>
      </w:r>
      <w:bookmarkStart w:id="0" w:name="_GoBack"/>
      <w:bookmarkEnd w:id="0"/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1.</w:t>
      </w:r>
      <w:r>
        <w:rPr>
          <w:noProof/>
          <w:lang w:eastAsia="en-GB"/>
        </w:rPr>
        <w:tab/>
        <w:t>Workstream meetings including multiagency staff from across all boroughs.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2.</w:t>
      </w:r>
      <w:r>
        <w:rPr>
          <w:noProof/>
          <w:lang w:eastAsia="en-GB"/>
        </w:rPr>
        <w:tab/>
        <w:t>Identification of good practice (i.e. Croydon Asthma Nurses)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3.</w:t>
      </w:r>
      <w:r>
        <w:rPr>
          <w:noProof/>
          <w:lang w:eastAsia="en-GB"/>
        </w:rPr>
        <w:tab/>
        <w:t>Primary Care Survey to identify variation in resource and future needs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4.</w:t>
      </w:r>
      <w:r>
        <w:rPr>
          <w:noProof/>
          <w:lang w:eastAsia="en-GB"/>
        </w:rPr>
        <w:tab/>
        <w:t>Joint education sessions (GP, Practice nurse, Hospital CNS, School Nurse, Pharmacy)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5.</w:t>
      </w:r>
      <w:r>
        <w:rPr>
          <w:noProof/>
          <w:lang w:eastAsia="en-GB"/>
        </w:rPr>
        <w:tab/>
        <w:t>Pilot of school education sessions for year 5 pupils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6.</w:t>
      </w:r>
      <w:r>
        <w:rPr>
          <w:noProof/>
          <w:lang w:eastAsia="en-GB"/>
        </w:rPr>
        <w:tab/>
        <w:t>Development of a unified pathway (not achieved) and asthma resources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Top Tips</w:t>
      </w:r>
      <w:r>
        <w:rPr>
          <w:noProof/>
          <w:lang w:eastAsia="en-GB"/>
        </w:rPr>
        <w:tab/>
      </w:r>
    </w:p>
    <w:p w:rsidR="007F1D80" w:rsidRDefault="007F1D80" w:rsidP="007F1D80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 xml:space="preserve">Funding </w:t>
      </w:r>
    </w:p>
    <w:p w:rsidR="007F1D80" w:rsidRDefault="007F1D80" w:rsidP="007F1D80">
      <w:pPr>
        <w:pStyle w:val="Transforming-body"/>
        <w:numPr>
          <w:ilvl w:val="0"/>
          <w:numId w:val="21"/>
        </w:numPr>
        <w:rPr>
          <w:noProof/>
          <w:lang w:eastAsia="en-GB"/>
        </w:rPr>
      </w:pPr>
      <w:r>
        <w:rPr>
          <w:noProof/>
          <w:lang w:eastAsia="en-GB"/>
        </w:rPr>
        <w:t xml:space="preserve">We had looked at other systems for more widespread dissemination of </w:t>
      </w:r>
      <w:r w:rsidRPr="007F1D80">
        <w:t>education</w:t>
      </w:r>
      <w:r>
        <w:rPr>
          <w:noProof/>
          <w:lang w:eastAsia="en-GB"/>
        </w:rPr>
        <w:t xml:space="preserve"> (Educaction for Health package combined with East of England) but no available funding</w:t>
      </w:r>
    </w:p>
    <w:p w:rsidR="007F1D80" w:rsidRDefault="007F1D80" w:rsidP="007F1D80">
      <w:pPr>
        <w:pStyle w:val="Transforming-body"/>
        <w:numPr>
          <w:ilvl w:val="0"/>
          <w:numId w:val="21"/>
        </w:numPr>
        <w:rPr>
          <w:noProof/>
          <w:lang w:eastAsia="en-GB"/>
        </w:rPr>
      </w:pPr>
      <w:r>
        <w:rPr>
          <w:noProof/>
          <w:lang w:eastAsia="en-GB"/>
        </w:rPr>
        <w:t>The education sessions we ran were funded from other sources</w:t>
      </w:r>
    </w:p>
    <w:p w:rsidR="007F1D80" w:rsidRDefault="007F1D80" w:rsidP="007F1D80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 xml:space="preserve">Participation </w:t>
      </w:r>
    </w:p>
    <w:p w:rsidR="007F1D80" w:rsidRDefault="007F1D80" w:rsidP="007F1D80">
      <w:pPr>
        <w:pStyle w:val="Transforming-body"/>
        <w:numPr>
          <w:ilvl w:val="0"/>
          <w:numId w:val="18"/>
        </w:numPr>
        <w:rPr>
          <w:noProof/>
          <w:lang w:eastAsia="en-GB"/>
        </w:rPr>
      </w:pPr>
      <w:r>
        <w:rPr>
          <w:noProof/>
          <w:lang w:eastAsia="en-GB"/>
        </w:rPr>
        <w:t xml:space="preserve">Sub-optimal response from primary care survey. </w:t>
      </w:r>
    </w:p>
    <w:p w:rsidR="007F1D80" w:rsidRDefault="007F1D80" w:rsidP="007F1D80">
      <w:pPr>
        <w:pStyle w:val="Transforming-body"/>
        <w:numPr>
          <w:ilvl w:val="0"/>
          <w:numId w:val="18"/>
        </w:numPr>
        <w:rPr>
          <w:noProof/>
          <w:lang w:eastAsia="en-GB"/>
        </w:rPr>
      </w:pPr>
      <w:r>
        <w:rPr>
          <w:noProof/>
          <w:lang w:eastAsia="en-GB"/>
        </w:rPr>
        <w:t>Meetings of workstream out of hours so some limitation of attendance. There was however a motivated core.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Outcomes</w:t>
      </w:r>
      <w:r>
        <w:rPr>
          <w:noProof/>
          <w:lang w:eastAsia="en-GB"/>
        </w:rPr>
        <w:tab/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We have identified some areas of need.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We have identified some other areas for more targeted education.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We would like to develop more patient focussed education and parent education sessions.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We have identified a core of people who are motivated to improve asthma outcomes in our locality.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Benefits</w:t>
      </w:r>
      <w:r>
        <w:rPr>
          <w:noProof/>
          <w:lang w:eastAsia="en-GB"/>
        </w:rPr>
        <w:tab/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Raised the profile of difficulties in children’s asthma to the locality.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Sustainability</w:t>
      </w:r>
      <w:r>
        <w:rPr>
          <w:noProof/>
          <w:lang w:eastAsia="en-GB"/>
        </w:rPr>
        <w:tab/>
        <w:t>We are currently reviewing next steps and how we proceed with the model as part of the SWL CYP Network.</w:t>
      </w:r>
    </w:p>
    <w:p w:rsidR="007F1D80" w:rsidRDefault="007F1D80" w:rsidP="007F1D8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Contact</w:t>
      </w:r>
      <w:r>
        <w:rPr>
          <w:noProof/>
          <w:lang w:eastAsia="en-GB"/>
        </w:rPr>
        <w:tab/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Richard Chavasse</w:t>
      </w:r>
      <w:r>
        <w:rPr>
          <w:noProof/>
          <w:lang w:eastAsia="en-GB"/>
        </w:rPr>
        <w:tab/>
        <w:t>rchavasse@nhs.net</w:t>
      </w:r>
    </w:p>
    <w:p w:rsidR="007F1D80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St Georges Hospital, Blackshaw Road, London SW17 0QT</w:t>
      </w:r>
    </w:p>
    <w:p w:rsidR="00F31999" w:rsidRDefault="007F1D80" w:rsidP="007F1D80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0208 725 2102 (secretary)</w:t>
      </w:r>
    </w:p>
    <w:sectPr w:rsidR="00F31999" w:rsidSect="002353AF">
      <w:headerReference w:type="default" r:id="rId10"/>
      <w:footerReference w:type="default" r:id="rId11"/>
      <w:footerReference w:type="first" r:id="rId12"/>
      <w:pgSz w:w="11906" w:h="16838" w:code="9"/>
      <w:pgMar w:top="1247" w:right="1247" w:bottom="851" w:left="1247" w:header="709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DD" w:rsidRDefault="00484CDD" w:rsidP="004850ED">
      <w:pPr>
        <w:spacing w:after="0" w:line="240" w:lineRule="auto"/>
      </w:pPr>
      <w:r>
        <w:separator/>
      </w:r>
    </w:p>
  </w:endnote>
  <w:endnote w:type="continuationSeparator" w:id="0">
    <w:p w:rsidR="00484CDD" w:rsidRDefault="00484CDD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873"/>
    </w:tblGrid>
    <w:tr w:rsidR="00484CDD" w:rsidTr="00484CDD">
      <w:trPr>
        <w:trHeight w:val="340"/>
      </w:trPr>
      <w:tc>
        <w:tcPr>
          <w:tcW w:w="8647" w:type="dxa"/>
          <w:vAlign w:val="center"/>
        </w:tcPr>
        <w:p w:rsidR="00484CDD" w:rsidRPr="00CE3FD4" w:rsidRDefault="00484CDD" w:rsidP="00484CDD">
          <w:pPr>
            <w:pStyle w:val="Footer"/>
            <w:rPr>
              <w:i/>
              <w:color w:val="0070C0"/>
              <w:sz w:val="16"/>
              <w:szCs w:val="16"/>
            </w:rPr>
          </w:pPr>
          <w:r w:rsidRPr="00CE3FD4">
            <w:rPr>
              <w:i/>
              <w:color w:val="0070C0"/>
              <w:sz w:val="16"/>
              <w:szCs w:val="16"/>
            </w:rPr>
            <w:t>Supported by and delivering for London’s NHS, London Councils, Public Health England and the Mayor of London</w:t>
          </w:r>
        </w:p>
      </w:tc>
      <w:tc>
        <w:tcPr>
          <w:tcW w:w="873" w:type="dxa"/>
          <w:vAlign w:val="center"/>
        </w:tcPr>
        <w:p w:rsidR="00484CDD" w:rsidRPr="002D1B18" w:rsidRDefault="00484CDD" w:rsidP="00484CDD">
          <w:pPr>
            <w:pStyle w:val="Footer"/>
            <w:jc w:val="right"/>
            <w:rPr>
              <w:i/>
              <w:color w:val="0070C0"/>
              <w:sz w:val="20"/>
              <w:szCs w:val="20"/>
            </w:rPr>
          </w:pPr>
          <w:r>
            <w:rPr>
              <w:i/>
              <w:color w:val="0070C0"/>
              <w:sz w:val="20"/>
              <w:szCs w:val="20"/>
            </w:rPr>
            <w:fldChar w:fldCharType="begin"/>
          </w:r>
          <w:r>
            <w:rPr>
              <w:i/>
              <w:color w:val="0070C0"/>
              <w:sz w:val="20"/>
              <w:szCs w:val="20"/>
            </w:rPr>
            <w:instrText xml:space="preserve"> PAGE  \* Arabic  \* MERGEFORMAT </w:instrText>
          </w:r>
          <w:r>
            <w:rPr>
              <w:i/>
              <w:color w:val="0070C0"/>
              <w:sz w:val="20"/>
              <w:szCs w:val="20"/>
            </w:rPr>
            <w:fldChar w:fldCharType="separate"/>
          </w:r>
          <w:r w:rsidR="007F1D80">
            <w:rPr>
              <w:i/>
              <w:noProof/>
              <w:color w:val="0070C0"/>
              <w:sz w:val="20"/>
              <w:szCs w:val="20"/>
            </w:rPr>
            <w:t>2</w:t>
          </w:r>
          <w:r>
            <w:rPr>
              <w:i/>
              <w:color w:val="0070C0"/>
              <w:sz w:val="20"/>
              <w:szCs w:val="20"/>
            </w:rPr>
            <w:fldChar w:fldCharType="end"/>
          </w:r>
        </w:p>
      </w:tc>
    </w:tr>
  </w:tbl>
  <w:p w:rsidR="00484CDD" w:rsidRDefault="00484CDD" w:rsidP="00701A43">
    <w:pPr>
      <w:pStyle w:val="Footer"/>
      <w:jc w:val="center"/>
    </w:pPr>
  </w:p>
  <w:p w:rsidR="00484CDD" w:rsidRDefault="00484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95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CDD" w:rsidRDefault="00484CDD">
        <w:pPr>
          <w:pStyle w:val="Footer"/>
          <w:jc w:val="center"/>
        </w:pPr>
      </w:p>
      <w:tbl>
        <w:tblPr>
          <w:tblStyle w:val="TableGrid"/>
          <w:tblW w:w="0" w:type="auto"/>
          <w:tblInd w:w="108" w:type="dxa"/>
          <w:tblBorders>
            <w:top w:val="single" w:sz="4" w:space="0" w:color="0070C0"/>
            <w:left w:val="none" w:sz="0" w:space="0" w:color="auto"/>
            <w:bottom w:val="single" w:sz="4" w:space="0" w:color="0070C0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7"/>
          <w:gridCol w:w="873"/>
        </w:tblGrid>
        <w:tr w:rsidR="00484CDD" w:rsidTr="00484CDD">
          <w:trPr>
            <w:trHeight w:val="340"/>
          </w:trPr>
          <w:tc>
            <w:tcPr>
              <w:tcW w:w="8647" w:type="dxa"/>
              <w:vAlign w:val="center"/>
            </w:tcPr>
            <w:p w:rsidR="00484CDD" w:rsidRPr="002D1B18" w:rsidRDefault="00484CDD" w:rsidP="00484CDD">
              <w:pPr>
                <w:pStyle w:val="Footer"/>
                <w:ind w:left="-142"/>
                <w:rPr>
                  <w:i/>
                  <w:color w:val="0070C0"/>
                  <w:sz w:val="20"/>
                  <w:szCs w:val="20"/>
                </w:rPr>
              </w:pPr>
              <w:r w:rsidRPr="002D1B18">
                <w:rPr>
                  <w:i/>
                  <w:color w:val="0070C0"/>
                  <w:sz w:val="20"/>
                  <w:szCs w:val="20"/>
                </w:rPr>
                <w:t>Supported by and delivering for London’s NHS, Public Health England and the Mayor of London</w:t>
              </w:r>
            </w:p>
          </w:tc>
          <w:tc>
            <w:tcPr>
              <w:tcW w:w="873" w:type="dxa"/>
              <w:vAlign w:val="center"/>
            </w:tcPr>
            <w:p w:rsidR="00484CDD" w:rsidRPr="002D1B18" w:rsidRDefault="00484CDD" w:rsidP="00484CDD">
              <w:pPr>
                <w:pStyle w:val="Footer"/>
                <w:jc w:val="right"/>
                <w:rPr>
                  <w:i/>
                  <w:color w:val="0070C0"/>
                  <w:sz w:val="20"/>
                  <w:szCs w:val="20"/>
                </w:rPr>
              </w:pPr>
              <w:r>
                <w:rPr>
                  <w:i/>
                  <w:color w:val="0070C0"/>
                  <w:sz w:val="20"/>
                  <w:szCs w:val="20"/>
                </w:rPr>
                <w:fldChar w:fldCharType="begin"/>
              </w:r>
              <w:r>
                <w:rPr>
                  <w:i/>
                  <w:color w:val="0070C0"/>
                  <w:sz w:val="20"/>
                  <w:szCs w:val="20"/>
                </w:rPr>
                <w:instrText xml:space="preserve"> PAGE  \* Arabic  \* MERGEFORMAT </w:instrTex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separate"/>
              </w:r>
              <w:r>
                <w:rPr>
                  <w:i/>
                  <w:noProof/>
                  <w:color w:val="0070C0"/>
                  <w:sz w:val="20"/>
                  <w:szCs w:val="20"/>
                </w:rPr>
                <w:t>1</w: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end"/>
              </w:r>
            </w:p>
          </w:tc>
        </w:tr>
      </w:tbl>
      <w:p w:rsidR="00484CDD" w:rsidRDefault="00484CDD">
        <w:pPr>
          <w:pStyle w:val="Footer"/>
          <w:jc w:val="center"/>
        </w:pPr>
      </w:p>
      <w:p w:rsidR="00484CDD" w:rsidRDefault="007F1D80" w:rsidP="002353AF">
        <w:pPr>
          <w:pStyle w:val="Footer"/>
        </w:pPr>
      </w:p>
    </w:sdtContent>
  </w:sdt>
  <w:p w:rsidR="00484CDD" w:rsidRDefault="00484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DD" w:rsidRDefault="00484CDD" w:rsidP="004850ED">
      <w:pPr>
        <w:spacing w:after="0" w:line="240" w:lineRule="auto"/>
      </w:pPr>
      <w:r>
        <w:separator/>
      </w:r>
    </w:p>
  </w:footnote>
  <w:footnote w:type="continuationSeparator" w:id="0">
    <w:p w:rsidR="00484CDD" w:rsidRDefault="00484CDD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D" w:rsidRPr="00F55314" w:rsidRDefault="007F1D80" w:rsidP="00CE3FD4">
    <w:pPr>
      <w:pStyle w:val="Header"/>
      <w:pBdr>
        <w:bottom w:val="single" w:sz="4" w:space="1" w:color="0072C6"/>
      </w:pBdr>
      <w:tabs>
        <w:tab w:val="clear" w:pos="4513"/>
        <w:tab w:val="clear" w:pos="9026"/>
        <w:tab w:val="left" w:pos="8647"/>
      </w:tabs>
      <w:rPr>
        <w:color w:val="595959" w:themeColor="text1" w:themeTint="A6"/>
      </w:rPr>
    </w:pPr>
    <w:r w:rsidRPr="007F1D80">
      <w:rPr>
        <w:b/>
        <w:i/>
      </w:rPr>
      <w:t>South west London chil</w:t>
    </w:r>
    <w:r w:rsidRPr="007F1D80">
      <w:rPr>
        <w:b/>
        <w:i/>
      </w:rPr>
      <w:t>dren and young people's toolkit</w:t>
    </w:r>
    <w:r w:rsidR="00C326FD" w:rsidRPr="007F1D80">
      <w:rPr>
        <w:rFonts w:cs="Arial"/>
        <w:b/>
        <w:i/>
        <w:color w:val="404040" w:themeColor="text1" w:themeTint="BF"/>
      </w:rPr>
      <w:t>: case study</w:t>
    </w:r>
    <w:r w:rsidR="00484CDD" w:rsidRPr="00F55314">
      <w:rPr>
        <w:color w:val="595959" w:themeColor="text1" w:themeTint="A6"/>
      </w:rPr>
      <w:tab/>
    </w:r>
    <w:r w:rsidR="00484CDD">
      <w:rPr>
        <w:color w:val="595959" w:themeColor="text1" w:themeTint="A6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6A"/>
    <w:multiLevelType w:val="hybridMultilevel"/>
    <w:tmpl w:val="FCB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A3B"/>
    <w:multiLevelType w:val="hybridMultilevel"/>
    <w:tmpl w:val="7C962C44"/>
    <w:lvl w:ilvl="0" w:tplc="AA945F1C">
      <w:start w:val="1"/>
      <w:numFmt w:val="bullet"/>
      <w:pStyle w:val="HLPbulle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92E"/>
    <w:multiLevelType w:val="hybridMultilevel"/>
    <w:tmpl w:val="B178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389A"/>
    <w:multiLevelType w:val="hybridMultilevel"/>
    <w:tmpl w:val="FFF0568A"/>
    <w:lvl w:ilvl="0" w:tplc="70FE2D0A">
      <w:start w:val="1"/>
      <w:numFmt w:val="bullet"/>
      <w:pStyle w:val="HL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3DD1"/>
    <w:multiLevelType w:val="hybridMultilevel"/>
    <w:tmpl w:val="7024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1B61"/>
    <w:multiLevelType w:val="hybridMultilevel"/>
    <w:tmpl w:val="1078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377BE"/>
    <w:multiLevelType w:val="hybridMultilevel"/>
    <w:tmpl w:val="0FE8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30FF4"/>
    <w:multiLevelType w:val="hybridMultilevel"/>
    <w:tmpl w:val="A7E46708"/>
    <w:lvl w:ilvl="0" w:tplc="E25A26F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E1380"/>
    <w:multiLevelType w:val="hybridMultilevel"/>
    <w:tmpl w:val="8A404E0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41E88"/>
    <w:multiLevelType w:val="hybridMultilevel"/>
    <w:tmpl w:val="1B2A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00BC4"/>
    <w:multiLevelType w:val="hybridMultilevel"/>
    <w:tmpl w:val="2D8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61396"/>
    <w:multiLevelType w:val="hybridMultilevel"/>
    <w:tmpl w:val="F602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5205B"/>
    <w:multiLevelType w:val="hybridMultilevel"/>
    <w:tmpl w:val="1B5846E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A27AB"/>
    <w:multiLevelType w:val="hybridMultilevel"/>
    <w:tmpl w:val="0092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1109F"/>
    <w:multiLevelType w:val="hybridMultilevel"/>
    <w:tmpl w:val="AFA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31D9D"/>
    <w:multiLevelType w:val="hybridMultilevel"/>
    <w:tmpl w:val="1E62F46A"/>
    <w:lvl w:ilvl="0" w:tplc="CCFEDD1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F5C71"/>
    <w:multiLevelType w:val="hybridMultilevel"/>
    <w:tmpl w:val="B23A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3711C"/>
    <w:multiLevelType w:val="hybridMultilevel"/>
    <w:tmpl w:val="1EA4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05059"/>
    <w:multiLevelType w:val="hybridMultilevel"/>
    <w:tmpl w:val="473C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71155"/>
    <w:multiLevelType w:val="hybridMultilevel"/>
    <w:tmpl w:val="094CF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D676E"/>
    <w:multiLevelType w:val="hybridMultilevel"/>
    <w:tmpl w:val="B40C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20"/>
  </w:num>
  <w:num w:numId="11">
    <w:abstractNumId w:val="4"/>
  </w:num>
  <w:num w:numId="12">
    <w:abstractNumId w:val="14"/>
  </w:num>
  <w:num w:numId="13">
    <w:abstractNumId w:val="13"/>
  </w:num>
  <w:num w:numId="14">
    <w:abstractNumId w:val="10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9"/>
  </w:num>
  <w:num w:numId="20">
    <w:abstractNumId w:val="7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43"/>
    <w:rsid w:val="001B4896"/>
    <w:rsid w:val="001D64A0"/>
    <w:rsid w:val="001E0FE0"/>
    <w:rsid w:val="001F32B1"/>
    <w:rsid w:val="002353AF"/>
    <w:rsid w:val="00305B4C"/>
    <w:rsid w:val="00484CDD"/>
    <w:rsid w:val="004850ED"/>
    <w:rsid w:val="004D7748"/>
    <w:rsid w:val="00632EA0"/>
    <w:rsid w:val="0066175F"/>
    <w:rsid w:val="00695C6D"/>
    <w:rsid w:val="00701A43"/>
    <w:rsid w:val="007F1D80"/>
    <w:rsid w:val="008F6E4F"/>
    <w:rsid w:val="00916DAF"/>
    <w:rsid w:val="009426EF"/>
    <w:rsid w:val="00951299"/>
    <w:rsid w:val="00990F74"/>
    <w:rsid w:val="009E0C01"/>
    <w:rsid w:val="00B00098"/>
    <w:rsid w:val="00B07CA0"/>
    <w:rsid w:val="00B13CF4"/>
    <w:rsid w:val="00B43C6D"/>
    <w:rsid w:val="00BD1355"/>
    <w:rsid w:val="00C326FD"/>
    <w:rsid w:val="00CE3FD4"/>
    <w:rsid w:val="00E60413"/>
    <w:rsid w:val="00E75451"/>
    <w:rsid w:val="00E93404"/>
    <w:rsid w:val="00EC1E86"/>
    <w:rsid w:val="00F31999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3E5E-8C9A-443E-B2A3-7CF40D74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Boyle</dc:creator>
  <cp:lastModifiedBy>Kim Boyle</cp:lastModifiedBy>
  <cp:revision>2</cp:revision>
  <cp:lastPrinted>2015-04-01T14:18:00Z</cp:lastPrinted>
  <dcterms:created xsi:type="dcterms:W3CDTF">2018-08-06T14:47:00Z</dcterms:created>
  <dcterms:modified xsi:type="dcterms:W3CDTF">2018-08-06T14:47:00Z</dcterms:modified>
</cp:coreProperties>
</file>