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BF" w:rsidRDefault="001668BF" w:rsidP="001668BF">
      <w:pPr>
        <w:pStyle w:val="Heading2"/>
        <w:rPr>
          <w:rFonts w:eastAsia="Arial"/>
          <w:lang w:val="en-US"/>
        </w:rPr>
      </w:pPr>
      <w:r>
        <w:rPr>
          <w:noProof/>
          <w:lang w:eastAsia="en-GB"/>
        </w:rPr>
        <w:drawing>
          <wp:inline distT="0" distB="0" distL="0" distR="0" wp14:anchorId="3F19511A" wp14:editId="49491941">
            <wp:extent cx="2196935" cy="5492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5A9F0B" wp14:editId="739426F5">
            <wp:simplePos x="0" y="0"/>
            <wp:positionH relativeFrom="column">
              <wp:posOffset>7629525</wp:posOffset>
            </wp:positionH>
            <wp:positionV relativeFrom="paragraph">
              <wp:posOffset>207010</wp:posOffset>
            </wp:positionV>
            <wp:extent cx="752475" cy="304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8BF" w:rsidRPr="00EC78EC" w:rsidRDefault="001668BF" w:rsidP="001668BF">
      <w:pPr>
        <w:pStyle w:val="Heading2"/>
        <w:jc w:val="center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Do you meet the London a</w:t>
      </w:r>
      <w:r w:rsidRPr="00EC78EC">
        <w:rPr>
          <w:rFonts w:ascii="Arial" w:eastAsia="Arial" w:hAnsi="Arial" w:cs="Arial"/>
          <w:sz w:val="28"/>
          <w:szCs w:val="28"/>
          <w:lang w:val="en-US"/>
        </w:rPr>
        <w:t>sthma standards for children and young people:</w:t>
      </w:r>
      <w:r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D65425">
        <w:rPr>
          <w:rFonts w:ascii="Arial" w:eastAsia="Arial" w:hAnsi="Arial" w:cs="Arial"/>
          <w:sz w:val="28"/>
          <w:szCs w:val="28"/>
          <w:lang w:val="en-US"/>
        </w:rPr>
        <w:t>Hospital Care</w:t>
      </w:r>
      <w:r>
        <w:rPr>
          <w:rFonts w:ascii="Arial" w:eastAsia="Arial" w:hAnsi="Arial" w:cs="Arial"/>
          <w:sz w:val="28"/>
          <w:szCs w:val="28"/>
          <w:lang w:val="en-US"/>
        </w:rPr>
        <w:t>?</w:t>
      </w:r>
    </w:p>
    <w:p w:rsidR="001668BF" w:rsidRPr="00EC78EC" w:rsidRDefault="001668BF" w:rsidP="001668BF">
      <w:pPr>
        <w:rPr>
          <w:lang w:val="en-US"/>
        </w:rPr>
      </w:pPr>
    </w:p>
    <w:p w:rsidR="001668BF" w:rsidRPr="00EC78EC" w:rsidRDefault="001668BF" w:rsidP="001668BF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EC78EC">
        <w:rPr>
          <w:rFonts w:eastAsia="FrutigerLTStd-Light" w:cs="Arial"/>
          <w:color w:val="414142"/>
        </w:rPr>
        <w:t xml:space="preserve">All organisations/services* must have a named </w:t>
      </w:r>
      <w:r w:rsidRPr="00EC78EC">
        <w:rPr>
          <w:rFonts w:eastAsia="FrutigerLTStd-Light" w:cs="Arial"/>
          <w:b/>
          <w:bCs/>
          <w:color w:val="414142"/>
        </w:rPr>
        <w:t xml:space="preserve">lead responsible and accountable for asthma </w:t>
      </w:r>
      <w:r w:rsidRPr="00EC78EC">
        <w:rPr>
          <w:rFonts w:eastAsia="FrutigerLTStd-Light" w:cs="Arial"/>
          <w:color w:val="414142"/>
        </w:rPr>
        <w:t>(which</w:t>
      </w:r>
      <w:r>
        <w:rPr>
          <w:rFonts w:eastAsia="FrutigerLTStd-Light" w:cs="Arial"/>
          <w:color w:val="414142"/>
        </w:rPr>
        <w:t xml:space="preserve"> </w:t>
      </w:r>
      <w:r w:rsidRPr="00EC78EC">
        <w:rPr>
          <w:rFonts w:eastAsia="FrutigerLTStd-Light" w:cs="Arial"/>
          <w:color w:val="414142"/>
        </w:rPr>
        <w:t>includes children and young people (CYP)).</w:t>
      </w:r>
      <w:r>
        <w:rPr>
          <w:rFonts w:eastAsia="FrutigerLTStd-Light" w:cs="Arial"/>
          <w:color w:val="414142"/>
        </w:rPr>
        <w:t xml:space="preserve"> They must also all meet the organisational standards (No 1-7) and patient family and support information provision and experience (No 9-13).  Please also the see the workforce education and training standards that are applicable to the setting (No 38-42)</w:t>
      </w:r>
    </w:p>
    <w:p w:rsidR="001668BF" w:rsidRDefault="001668BF" w:rsidP="00166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6155"/>
        <w:gridCol w:w="5907"/>
        <w:gridCol w:w="1134"/>
      </w:tblGrid>
      <w:tr w:rsidR="001668BF" w:rsidTr="00807AE2">
        <w:tc>
          <w:tcPr>
            <w:tcW w:w="520" w:type="dxa"/>
            <w:shd w:val="clear" w:color="auto" w:fill="B8CCE4" w:themeFill="accent1" w:themeFillTint="66"/>
          </w:tcPr>
          <w:p w:rsidR="001668BF" w:rsidRPr="00220B6F" w:rsidRDefault="001668BF" w:rsidP="003470F9">
            <w:pPr>
              <w:rPr>
                <w:b/>
              </w:rPr>
            </w:pPr>
          </w:p>
        </w:tc>
        <w:tc>
          <w:tcPr>
            <w:tcW w:w="6155" w:type="dxa"/>
            <w:shd w:val="clear" w:color="auto" w:fill="B8CCE4" w:themeFill="accent1" w:themeFillTint="66"/>
          </w:tcPr>
          <w:p w:rsidR="001668BF" w:rsidRPr="00220B6F" w:rsidRDefault="001668BF" w:rsidP="003470F9">
            <w:pPr>
              <w:rPr>
                <w:b/>
              </w:rPr>
            </w:pPr>
            <w:r w:rsidRPr="00220B6F">
              <w:rPr>
                <w:b/>
              </w:rPr>
              <w:t>Standard</w:t>
            </w:r>
            <w:r w:rsidRPr="00220B6F">
              <w:rPr>
                <w:b/>
              </w:rPr>
              <w:tab/>
            </w:r>
          </w:p>
          <w:p w:rsidR="001668BF" w:rsidRPr="00220B6F" w:rsidRDefault="001668BF" w:rsidP="003470F9">
            <w:pPr>
              <w:rPr>
                <w:b/>
              </w:rPr>
            </w:pPr>
          </w:p>
        </w:tc>
        <w:tc>
          <w:tcPr>
            <w:tcW w:w="5907" w:type="dxa"/>
            <w:shd w:val="clear" w:color="auto" w:fill="B8CCE4" w:themeFill="accent1" w:themeFillTint="66"/>
          </w:tcPr>
          <w:p w:rsidR="001668BF" w:rsidRPr="00220B6F" w:rsidRDefault="00807AE2" w:rsidP="003470F9">
            <w:pPr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1668BF" w:rsidRDefault="001668BF" w:rsidP="003470F9">
            <w:pPr>
              <w:rPr>
                <w:b/>
              </w:rPr>
            </w:pPr>
            <w:r w:rsidRPr="00220B6F">
              <w:rPr>
                <w:b/>
              </w:rPr>
              <w:t>Met</w:t>
            </w:r>
          </w:p>
          <w:p w:rsidR="001668BF" w:rsidRPr="00220B6F" w:rsidRDefault="001668BF" w:rsidP="003470F9">
            <w:pPr>
              <w:rPr>
                <w:b/>
              </w:rPr>
            </w:pPr>
            <w:r w:rsidRPr="00F7094D">
              <w:rPr>
                <w:b/>
                <w:sz w:val="16"/>
                <w:szCs w:val="16"/>
              </w:rPr>
              <w:t>(Yes /No)</w:t>
            </w:r>
          </w:p>
        </w:tc>
      </w:tr>
      <w:tr w:rsidR="001668BF" w:rsidTr="003470F9">
        <w:tc>
          <w:tcPr>
            <w:tcW w:w="520" w:type="dxa"/>
          </w:tcPr>
          <w:p w:rsidR="001668BF" w:rsidRDefault="00807AE2" w:rsidP="003470F9">
            <w:r>
              <w:t>19</w:t>
            </w:r>
          </w:p>
        </w:tc>
        <w:tc>
          <w:tcPr>
            <w:tcW w:w="6155" w:type="dxa"/>
          </w:tcPr>
          <w:p w:rsidR="00807AE2" w:rsidRDefault="00807AE2" w:rsidP="00807AE2">
            <w:r>
              <w:t>The organisation complies with existing standards, such as the London</w:t>
            </w:r>
            <w:r>
              <w:t xml:space="preserve"> </w:t>
            </w:r>
            <w:r>
              <w:t>acute care standards for CYP (which incorporate the London Quality</w:t>
            </w:r>
            <w:r>
              <w:t xml:space="preserve"> </w:t>
            </w:r>
            <w:r>
              <w:t>Standards) and safeguarding policies.</w:t>
            </w:r>
          </w:p>
          <w:p w:rsidR="00807AE2" w:rsidRDefault="00807AE2" w:rsidP="00807AE2">
            <w:r>
              <w:rPr>
                <w:rFonts w:cs="Arial"/>
              </w:rPr>
              <w:t></w:t>
            </w:r>
            <w:r>
              <w:t xml:space="preserve"> </w:t>
            </w:r>
          </w:p>
          <w:p w:rsidR="001668BF" w:rsidRDefault="001668BF" w:rsidP="00807AE2"/>
        </w:tc>
        <w:tc>
          <w:tcPr>
            <w:tcW w:w="5907" w:type="dxa"/>
          </w:tcPr>
          <w:p w:rsidR="00807AE2" w:rsidRDefault="00807AE2" w:rsidP="00807AE2">
            <w:r>
              <w:t xml:space="preserve">Demonstrated in published plans, reports and in </w:t>
            </w:r>
            <w:r>
              <w:t>m</w:t>
            </w:r>
            <w:r>
              <w:t>anagement structure to</w:t>
            </w:r>
            <w:r>
              <w:t xml:space="preserve"> support the service.</w:t>
            </w:r>
          </w:p>
          <w:p w:rsidR="00807AE2" w:rsidRDefault="00807AE2" w:rsidP="00807AE2">
            <w:pPr>
              <w:rPr>
                <w:rFonts w:cs="Arial"/>
              </w:rPr>
            </w:pPr>
            <w:r>
              <w:t>Audit and compliance against standards.</w:t>
            </w:r>
            <w:r>
              <w:rPr>
                <w:rFonts w:cs="Arial"/>
              </w:rPr>
              <w:t></w:t>
            </w:r>
          </w:p>
          <w:p w:rsidR="00807AE2" w:rsidRDefault="00807AE2" w:rsidP="00807AE2">
            <w:r>
              <w:t>Self-assessment against London Acute care standards for CYP and action plan.</w:t>
            </w:r>
          </w:p>
          <w:p w:rsidR="001668BF" w:rsidRDefault="00807AE2" w:rsidP="00807AE2">
            <w:r>
              <w:t xml:space="preserve">Compliance with regulatory policies in particular </w:t>
            </w:r>
            <w:r>
              <w:t>s</w:t>
            </w:r>
            <w:r>
              <w:t>afeguarding around failed to</w:t>
            </w:r>
            <w:r>
              <w:t xml:space="preserve"> </w:t>
            </w:r>
            <w:r>
              <w:t>attend policies.</w:t>
            </w:r>
          </w:p>
        </w:tc>
        <w:tc>
          <w:tcPr>
            <w:tcW w:w="1134" w:type="dxa"/>
          </w:tcPr>
          <w:p w:rsidR="001668BF" w:rsidRDefault="001668BF" w:rsidP="003470F9"/>
        </w:tc>
      </w:tr>
      <w:tr w:rsidR="001668BF" w:rsidTr="00807AE2">
        <w:trPr>
          <w:trHeight w:val="1493"/>
        </w:trPr>
        <w:tc>
          <w:tcPr>
            <w:tcW w:w="520" w:type="dxa"/>
          </w:tcPr>
          <w:p w:rsidR="001668BF" w:rsidRDefault="00807AE2" w:rsidP="003470F9">
            <w:r>
              <w:t>20</w:t>
            </w:r>
          </w:p>
        </w:tc>
        <w:tc>
          <w:tcPr>
            <w:tcW w:w="6155" w:type="dxa"/>
          </w:tcPr>
          <w:p w:rsidR="00807AE2" w:rsidRDefault="00807AE2" w:rsidP="00807AE2">
            <w:r>
              <w:t xml:space="preserve">All CYP who present in an emergency are managed </w:t>
            </w:r>
            <w:r>
              <w:t>a</w:t>
            </w:r>
            <w:r>
              <w:t>ccording to</w:t>
            </w:r>
            <w:r>
              <w:t xml:space="preserve"> </w:t>
            </w:r>
            <w:r>
              <w:t>local policies and protocols and NICE guidance which incorporate</w:t>
            </w:r>
            <w:r>
              <w:t xml:space="preserve"> </w:t>
            </w:r>
            <w:r>
              <w:t>acute management, education ongoing treatment and discharge</w:t>
            </w:r>
            <w:r>
              <w:t xml:space="preserve"> </w:t>
            </w:r>
            <w:r>
              <w:t>arrangements, including ensuring communication with community care</w:t>
            </w:r>
            <w:r>
              <w:t xml:space="preserve"> </w:t>
            </w:r>
            <w:r>
              <w:t>electronically within 24 hours.</w:t>
            </w:r>
            <w:r>
              <w:rPr>
                <w:rFonts w:cs="Arial"/>
              </w:rPr>
              <w:t></w:t>
            </w:r>
            <w:r>
              <w:t xml:space="preserve"> </w:t>
            </w:r>
          </w:p>
          <w:p w:rsidR="001668BF" w:rsidRDefault="001668BF" w:rsidP="00807AE2"/>
        </w:tc>
        <w:tc>
          <w:tcPr>
            <w:tcW w:w="5907" w:type="dxa"/>
          </w:tcPr>
          <w:p w:rsidR="00807AE2" w:rsidRDefault="00807AE2" w:rsidP="00807AE2">
            <w:r>
              <w:t>Local policies and protocols in GP, community care, emergency departments and</w:t>
            </w:r>
            <w:r>
              <w:t xml:space="preserve"> </w:t>
            </w:r>
            <w:r>
              <w:t>urgent care centres.</w:t>
            </w:r>
          </w:p>
          <w:p w:rsidR="001668BF" w:rsidRDefault="00807AE2" w:rsidP="00807AE2">
            <w:r>
              <w:t xml:space="preserve">Systems in place to communicate electronically, </w:t>
            </w:r>
            <w:r>
              <w:t>p</w:t>
            </w:r>
            <w:r>
              <w:t>referably by a single patient</w:t>
            </w:r>
            <w:r>
              <w:t xml:space="preserve"> </w:t>
            </w:r>
            <w:r>
              <w:t>record.</w:t>
            </w:r>
          </w:p>
        </w:tc>
        <w:tc>
          <w:tcPr>
            <w:tcW w:w="1134" w:type="dxa"/>
          </w:tcPr>
          <w:p w:rsidR="001668BF" w:rsidRDefault="001668BF" w:rsidP="003470F9"/>
        </w:tc>
      </w:tr>
      <w:tr w:rsidR="001668BF" w:rsidTr="00807AE2">
        <w:trPr>
          <w:trHeight w:val="1121"/>
        </w:trPr>
        <w:tc>
          <w:tcPr>
            <w:tcW w:w="520" w:type="dxa"/>
          </w:tcPr>
          <w:p w:rsidR="001668BF" w:rsidRDefault="00807AE2" w:rsidP="003470F9">
            <w:r w:rsidRPr="00807AE2">
              <w:t>21</w:t>
            </w:r>
          </w:p>
        </w:tc>
        <w:tc>
          <w:tcPr>
            <w:tcW w:w="6155" w:type="dxa"/>
          </w:tcPr>
          <w:p w:rsidR="00807AE2" w:rsidRPr="00807AE2" w:rsidRDefault="00807AE2" w:rsidP="00807AE2">
            <w:pPr>
              <w:pStyle w:val="ListParagraph"/>
              <w:ind w:left="47"/>
            </w:pPr>
            <w:r w:rsidRPr="00807AE2">
              <w:t>NICE Statement 7: People with asthma who present with an exacerbation of</w:t>
            </w:r>
            <w:r>
              <w:t xml:space="preserve"> </w:t>
            </w:r>
            <w:r w:rsidRPr="00807AE2">
              <w:t xml:space="preserve">their symptoms receive an </w:t>
            </w:r>
            <w:r w:rsidRPr="00807AE2">
              <w:rPr>
                <w:b/>
                <w:bCs/>
              </w:rPr>
              <w:t>objective measurement of severity</w:t>
            </w:r>
            <w:r w:rsidRPr="00807AE2">
              <w:t>* at the time</w:t>
            </w:r>
            <w:r>
              <w:t xml:space="preserve"> </w:t>
            </w:r>
            <w:r w:rsidRPr="00807AE2">
              <w:t>of presentation.</w:t>
            </w:r>
          </w:p>
          <w:p w:rsidR="001668BF" w:rsidRDefault="001668BF" w:rsidP="00807AE2">
            <w:pPr>
              <w:pStyle w:val="ListParagraph"/>
            </w:pPr>
          </w:p>
        </w:tc>
        <w:tc>
          <w:tcPr>
            <w:tcW w:w="5907" w:type="dxa"/>
          </w:tcPr>
          <w:p w:rsidR="001668BF" w:rsidRDefault="00807AE2" w:rsidP="00807AE2">
            <w:pPr>
              <w:pStyle w:val="ListParagraph"/>
              <w:ind w:left="129"/>
            </w:pPr>
            <w:r w:rsidRPr="00807AE2">
              <w:t>Evidence of local arrangements to ensure people with asthma</w:t>
            </w:r>
            <w:r>
              <w:t xml:space="preserve"> </w:t>
            </w:r>
            <w:r w:rsidRPr="00807AE2">
              <w:t>presenting with an exacerbation of their respiratory symptoms receive an objective</w:t>
            </w:r>
            <w:r>
              <w:t xml:space="preserve"> </w:t>
            </w:r>
            <w:r w:rsidRPr="00807AE2">
              <w:t>measurement of severi</w:t>
            </w:r>
            <w:r>
              <w:t>ty at the time of presentation.</w:t>
            </w:r>
          </w:p>
        </w:tc>
        <w:tc>
          <w:tcPr>
            <w:tcW w:w="1134" w:type="dxa"/>
          </w:tcPr>
          <w:p w:rsidR="001668BF" w:rsidRDefault="001668BF" w:rsidP="003470F9"/>
        </w:tc>
      </w:tr>
      <w:tr w:rsidR="00807AE2" w:rsidTr="00807AE2">
        <w:trPr>
          <w:trHeight w:val="1121"/>
        </w:trPr>
        <w:tc>
          <w:tcPr>
            <w:tcW w:w="520" w:type="dxa"/>
          </w:tcPr>
          <w:p w:rsidR="00807AE2" w:rsidRPr="00807AE2" w:rsidRDefault="00807AE2" w:rsidP="003470F9">
            <w:r w:rsidRPr="00807AE2">
              <w:lastRenderedPageBreak/>
              <w:t>22</w:t>
            </w:r>
          </w:p>
        </w:tc>
        <w:tc>
          <w:tcPr>
            <w:tcW w:w="6155" w:type="dxa"/>
          </w:tcPr>
          <w:p w:rsidR="00807AE2" w:rsidRPr="00807AE2" w:rsidRDefault="00807AE2" w:rsidP="00807AE2">
            <w:pPr>
              <w:pStyle w:val="ListParagraph"/>
              <w:ind w:left="47"/>
            </w:pPr>
            <w:r w:rsidRPr="00807AE2">
              <w:t>People aged 5 years or older presenting to a healthcare</w:t>
            </w:r>
          </w:p>
          <w:p w:rsidR="00807AE2" w:rsidRPr="00807AE2" w:rsidRDefault="00807AE2" w:rsidP="00807AE2">
            <w:pPr>
              <w:pStyle w:val="ListParagraph"/>
              <w:ind w:left="47"/>
            </w:pPr>
            <w:proofErr w:type="gramStart"/>
            <w:r w:rsidRPr="00807AE2">
              <w:t>professional</w:t>
            </w:r>
            <w:proofErr w:type="gramEnd"/>
            <w:r w:rsidRPr="00807AE2">
              <w:t xml:space="preserve"> with a severe or life-threatening acute exacerbation of asthma</w:t>
            </w:r>
            <w:r>
              <w:t xml:space="preserve"> </w:t>
            </w:r>
            <w:r w:rsidRPr="00807AE2">
              <w:t xml:space="preserve">receive </w:t>
            </w:r>
            <w:r w:rsidRPr="00807AE2">
              <w:rPr>
                <w:b/>
                <w:bCs/>
              </w:rPr>
              <w:t>oral or intravenous steroids within one hour of presentation</w:t>
            </w:r>
            <w:r>
              <w:rPr>
                <w:b/>
                <w:bCs/>
              </w:rPr>
              <w:t xml:space="preserve"> </w:t>
            </w:r>
            <w:r w:rsidRPr="00807AE2">
              <w:t>and seen by the respiratory team directly.</w:t>
            </w:r>
          </w:p>
        </w:tc>
        <w:tc>
          <w:tcPr>
            <w:tcW w:w="5907" w:type="dxa"/>
          </w:tcPr>
          <w:p w:rsidR="00807AE2" w:rsidRPr="00807AE2" w:rsidRDefault="00807AE2" w:rsidP="00807AE2">
            <w:r w:rsidRPr="00807AE2">
              <w:t>Evidence of local arrangements to ensure people aged 5 years or older</w:t>
            </w:r>
            <w:r>
              <w:t xml:space="preserve"> </w:t>
            </w:r>
            <w:r w:rsidRPr="00807AE2">
              <w:t>presenting to a healthcare professional with a severe or life-threatening acute</w:t>
            </w:r>
            <w:r>
              <w:t xml:space="preserve"> </w:t>
            </w:r>
            <w:r w:rsidRPr="00807AE2">
              <w:t>exacerbation of asthma receive oral or intravenous steroids within one hour of</w:t>
            </w:r>
            <w:r>
              <w:t xml:space="preserve"> </w:t>
            </w:r>
            <w:r w:rsidRPr="00807AE2">
              <w:t>presentation.</w:t>
            </w:r>
          </w:p>
        </w:tc>
        <w:tc>
          <w:tcPr>
            <w:tcW w:w="1134" w:type="dxa"/>
          </w:tcPr>
          <w:p w:rsidR="00807AE2" w:rsidRDefault="00807AE2" w:rsidP="003470F9"/>
        </w:tc>
      </w:tr>
      <w:tr w:rsidR="00807AE2" w:rsidTr="00807AE2">
        <w:trPr>
          <w:trHeight w:val="1121"/>
        </w:trPr>
        <w:tc>
          <w:tcPr>
            <w:tcW w:w="520" w:type="dxa"/>
          </w:tcPr>
          <w:p w:rsidR="00807AE2" w:rsidRPr="00807AE2" w:rsidRDefault="00807AE2" w:rsidP="003470F9">
            <w:r w:rsidRPr="00807AE2">
              <w:t>23</w:t>
            </w:r>
          </w:p>
        </w:tc>
        <w:tc>
          <w:tcPr>
            <w:tcW w:w="6155" w:type="dxa"/>
          </w:tcPr>
          <w:p w:rsidR="00807AE2" w:rsidRPr="00807AE2" w:rsidRDefault="00807AE2" w:rsidP="00807AE2">
            <w:pPr>
              <w:pStyle w:val="ListParagraph"/>
              <w:ind w:left="47"/>
            </w:pPr>
            <w:r w:rsidRPr="00807AE2">
              <w:t>People admitted to hospital with an acute exacerbation</w:t>
            </w:r>
          </w:p>
          <w:p w:rsidR="00807AE2" w:rsidRPr="00807AE2" w:rsidRDefault="00807AE2" w:rsidP="00807AE2">
            <w:pPr>
              <w:pStyle w:val="ListParagraph"/>
              <w:ind w:left="47"/>
            </w:pPr>
            <w:proofErr w:type="gramStart"/>
            <w:r w:rsidRPr="00807AE2">
              <w:t>of</w:t>
            </w:r>
            <w:proofErr w:type="gramEnd"/>
            <w:r w:rsidRPr="00807AE2">
              <w:t xml:space="preserve"> asthma have a </w:t>
            </w:r>
            <w:r w:rsidRPr="00807AE2">
              <w:rPr>
                <w:b/>
                <w:bCs/>
              </w:rPr>
              <w:t xml:space="preserve">structured review </w:t>
            </w:r>
            <w:r w:rsidRPr="00807AE2">
              <w:t>by a member of a specialist respiratory</w:t>
            </w:r>
            <w:r>
              <w:t xml:space="preserve"> </w:t>
            </w:r>
            <w:r w:rsidRPr="00807AE2">
              <w:t xml:space="preserve">team </w:t>
            </w:r>
            <w:r w:rsidRPr="00807AE2">
              <w:rPr>
                <w:b/>
                <w:bCs/>
              </w:rPr>
              <w:t>before discharge</w:t>
            </w:r>
            <w:r w:rsidRPr="00807AE2">
              <w:t>.</w:t>
            </w:r>
          </w:p>
          <w:p w:rsidR="00807AE2" w:rsidRPr="00807AE2" w:rsidRDefault="00807AE2" w:rsidP="00807AE2">
            <w:pPr>
              <w:pStyle w:val="ListParagraph"/>
              <w:ind w:left="47"/>
            </w:pPr>
            <w:r w:rsidRPr="00807AE2">
              <w:t>The structured review includes:</w:t>
            </w:r>
          </w:p>
          <w:p w:rsidR="00807AE2" w:rsidRPr="00807AE2" w:rsidRDefault="00807AE2" w:rsidP="00807AE2">
            <w:pPr>
              <w:pStyle w:val="ListParagraph"/>
              <w:numPr>
                <w:ilvl w:val="0"/>
                <w:numId w:val="1"/>
              </w:numPr>
            </w:pPr>
            <w:r w:rsidRPr="00807AE2">
              <w:t>Assessment of control (Children’s Asthma Control Test (ACT) if aged over</w:t>
            </w:r>
            <w:r>
              <w:t xml:space="preserve"> </w:t>
            </w:r>
            <w:r w:rsidRPr="00807AE2">
              <w:t>4 years) and / or triggers for wheezing.</w:t>
            </w:r>
          </w:p>
          <w:p w:rsidR="00807AE2" w:rsidRPr="00807AE2" w:rsidRDefault="00807AE2" w:rsidP="00807AE2">
            <w:pPr>
              <w:pStyle w:val="ListParagraph"/>
              <w:numPr>
                <w:ilvl w:val="0"/>
                <w:numId w:val="1"/>
              </w:numPr>
            </w:pPr>
            <w:r w:rsidRPr="00807AE2">
              <w:t>Inhaler techniques.</w:t>
            </w:r>
          </w:p>
          <w:p w:rsidR="00807AE2" w:rsidRPr="00807AE2" w:rsidRDefault="00807AE2" w:rsidP="00807AE2">
            <w:pPr>
              <w:pStyle w:val="ListParagraph"/>
              <w:numPr>
                <w:ilvl w:val="0"/>
                <w:numId w:val="1"/>
              </w:numPr>
            </w:pPr>
            <w:r w:rsidRPr="00807AE2">
              <w:t>Self-management and how to manage acute exacerbations.</w:t>
            </w:r>
          </w:p>
          <w:p w:rsidR="00807AE2" w:rsidRPr="00807AE2" w:rsidRDefault="00807AE2" w:rsidP="00787F3F">
            <w:pPr>
              <w:pStyle w:val="ListParagraph"/>
              <w:numPr>
                <w:ilvl w:val="0"/>
                <w:numId w:val="1"/>
              </w:numPr>
            </w:pPr>
            <w:r w:rsidRPr="00807AE2">
              <w:t>Personal asthma action plan.</w:t>
            </w:r>
            <w:bookmarkStart w:id="0" w:name="_GoBack"/>
            <w:bookmarkEnd w:id="0"/>
          </w:p>
        </w:tc>
        <w:tc>
          <w:tcPr>
            <w:tcW w:w="5907" w:type="dxa"/>
          </w:tcPr>
          <w:p w:rsidR="00807AE2" w:rsidRPr="00807AE2" w:rsidRDefault="00807AE2" w:rsidP="00807AE2">
            <w:pPr>
              <w:pStyle w:val="ListParagraph"/>
              <w:ind w:left="47"/>
            </w:pPr>
            <w:r w:rsidRPr="00807AE2">
              <w:t>Evidence of local arrangements to ensure people admitted to hospital</w:t>
            </w:r>
            <w:r>
              <w:t xml:space="preserve"> </w:t>
            </w:r>
            <w:r w:rsidRPr="00807AE2">
              <w:t>with an acute exacerbation of asthma have a structured review by a member of a</w:t>
            </w:r>
            <w:r>
              <w:t xml:space="preserve"> </w:t>
            </w:r>
            <w:r w:rsidRPr="00807AE2">
              <w:t>specialist respiratory team before discharge.</w:t>
            </w:r>
          </w:p>
        </w:tc>
        <w:tc>
          <w:tcPr>
            <w:tcW w:w="1134" w:type="dxa"/>
          </w:tcPr>
          <w:p w:rsidR="00807AE2" w:rsidRDefault="00807AE2" w:rsidP="003470F9"/>
        </w:tc>
      </w:tr>
      <w:tr w:rsidR="00807AE2" w:rsidTr="00787F3F">
        <w:trPr>
          <w:trHeight w:val="581"/>
        </w:trPr>
        <w:tc>
          <w:tcPr>
            <w:tcW w:w="520" w:type="dxa"/>
            <w:shd w:val="clear" w:color="auto" w:fill="B8CCE4" w:themeFill="accent1" w:themeFillTint="66"/>
          </w:tcPr>
          <w:p w:rsidR="00807AE2" w:rsidRPr="00807AE2" w:rsidRDefault="00787F3F" w:rsidP="003470F9">
            <w:r>
              <w:t>no</w:t>
            </w:r>
          </w:p>
        </w:tc>
        <w:tc>
          <w:tcPr>
            <w:tcW w:w="6155" w:type="dxa"/>
            <w:shd w:val="clear" w:color="auto" w:fill="B8CCE4" w:themeFill="accent1" w:themeFillTint="66"/>
          </w:tcPr>
          <w:p w:rsidR="00807AE2" w:rsidRDefault="00787F3F" w:rsidP="00807AE2">
            <w:pPr>
              <w:pStyle w:val="ListParagraph"/>
              <w:ind w:left="47"/>
              <w:rPr>
                <w:b/>
              </w:rPr>
            </w:pPr>
            <w:r w:rsidRPr="00787F3F">
              <w:rPr>
                <w:b/>
              </w:rPr>
              <w:t>High risk care</w:t>
            </w:r>
          </w:p>
          <w:p w:rsidR="00787F3F" w:rsidRPr="00787F3F" w:rsidRDefault="00787F3F" w:rsidP="00807AE2">
            <w:pPr>
              <w:pStyle w:val="ListParagraph"/>
              <w:ind w:left="47"/>
              <w:rPr>
                <w:b/>
              </w:rPr>
            </w:pPr>
            <w:r>
              <w:rPr>
                <w:b/>
              </w:rPr>
              <w:t>Standards</w:t>
            </w:r>
          </w:p>
        </w:tc>
        <w:tc>
          <w:tcPr>
            <w:tcW w:w="5907" w:type="dxa"/>
            <w:shd w:val="clear" w:color="auto" w:fill="B8CCE4" w:themeFill="accent1" w:themeFillTint="66"/>
          </w:tcPr>
          <w:p w:rsidR="00807AE2" w:rsidRPr="00787F3F" w:rsidRDefault="00787F3F" w:rsidP="00807AE2">
            <w:pPr>
              <w:pStyle w:val="ListParagraph"/>
              <w:ind w:left="129"/>
              <w:rPr>
                <w:b/>
              </w:rPr>
            </w:pPr>
            <w:r w:rsidRPr="00787F3F">
              <w:rPr>
                <w:b/>
              </w:rPr>
              <w:t>Evidence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807AE2" w:rsidRPr="00787F3F" w:rsidRDefault="00787F3F" w:rsidP="003470F9">
            <w:pPr>
              <w:rPr>
                <w:b/>
              </w:rPr>
            </w:pPr>
            <w:r w:rsidRPr="00787F3F">
              <w:rPr>
                <w:b/>
              </w:rPr>
              <w:t>Met</w:t>
            </w:r>
          </w:p>
        </w:tc>
      </w:tr>
      <w:tr w:rsidR="00807AE2" w:rsidTr="00807AE2">
        <w:trPr>
          <w:trHeight w:val="1121"/>
        </w:trPr>
        <w:tc>
          <w:tcPr>
            <w:tcW w:w="520" w:type="dxa"/>
          </w:tcPr>
          <w:p w:rsidR="00807AE2" w:rsidRPr="00807AE2" w:rsidRDefault="00787F3F" w:rsidP="003470F9">
            <w:r w:rsidRPr="00787F3F">
              <w:t>24</w:t>
            </w:r>
          </w:p>
        </w:tc>
        <w:tc>
          <w:tcPr>
            <w:tcW w:w="6155" w:type="dxa"/>
          </w:tcPr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 xml:space="preserve">There are </w:t>
            </w:r>
            <w:r w:rsidRPr="00787F3F">
              <w:rPr>
                <w:b/>
                <w:bCs/>
              </w:rPr>
              <w:t>systems in place in acute and community care for</w:t>
            </w:r>
            <w:r>
              <w:rPr>
                <w:b/>
                <w:bCs/>
              </w:rPr>
              <w:t xml:space="preserve"> </w:t>
            </w:r>
            <w:r w:rsidRPr="00787F3F">
              <w:rPr>
                <w:b/>
                <w:bCs/>
              </w:rPr>
              <w:t>identifying patients at high risk, poorly controlled or severe</w:t>
            </w:r>
            <w:r>
              <w:rPr>
                <w:b/>
                <w:bCs/>
              </w:rPr>
              <w:t xml:space="preserve"> </w:t>
            </w:r>
            <w:r w:rsidRPr="00787F3F">
              <w:rPr>
                <w:b/>
                <w:bCs/>
              </w:rPr>
              <w:t xml:space="preserve">asthma and monitoring/tracing and managing </w:t>
            </w:r>
            <w:r w:rsidRPr="00787F3F">
              <w:t>those CYP who have</w:t>
            </w:r>
            <w:r>
              <w:t xml:space="preserve"> </w:t>
            </w:r>
            <w:r w:rsidRPr="00787F3F">
              <w:t>had in the last year: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331" w:hanging="284"/>
            </w:pPr>
            <w:r w:rsidRPr="00787F3F">
              <w:rPr>
                <w:rFonts w:cs="Arial"/>
              </w:rPr>
              <w:t></w:t>
            </w:r>
            <w:r w:rsidRPr="00787F3F">
              <w:t>More than one admission.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331" w:hanging="284"/>
            </w:pPr>
            <w:r w:rsidRPr="00787F3F">
              <w:rPr>
                <w:rFonts w:cs="Arial"/>
              </w:rPr>
              <w:t></w:t>
            </w:r>
            <w:r w:rsidRPr="00787F3F">
              <w:t>Admission to HDU, ICU, PICU.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331" w:hanging="284"/>
            </w:pPr>
            <w:r w:rsidRPr="00787F3F">
              <w:rPr>
                <w:rFonts w:cs="Arial"/>
              </w:rPr>
              <w:t></w:t>
            </w:r>
            <w:r w:rsidRPr="00787F3F">
              <w:t>Two or more attendances to the emergency department or out of</w:t>
            </w:r>
            <w:r>
              <w:t xml:space="preserve"> </w:t>
            </w:r>
            <w:r w:rsidRPr="00787F3F">
              <w:t>hours care in the last year.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473" w:hanging="426"/>
            </w:pPr>
            <w:r w:rsidRPr="00787F3F">
              <w:t>Two or more unscheduled visits to the GP (requiring short courses of</w:t>
            </w:r>
            <w:r>
              <w:t xml:space="preserve"> </w:t>
            </w:r>
            <w:r w:rsidRPr="00787F3F">
              <w:t>oral steroids).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473" w:hanging="426"/>
            </w:pPr>
            <w:r w:rsidRPr="00787F3F">
              <w:t>Ten or more salbutamol inhalers.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3"/>
              </w:numPr>
              <w:ind w:left="473" w:hanging="426"/>
            </w:pPr>
            <w:r w:rsidRPr="00787F3F">
              <w:t xml:space="preserve">80 </w:t>
            </w:r>
            <w:r w:rsidRPr="00787F3F">
              <w:t>per cent or less uptake of</w:t>
            </w:r>
            <w:r>
              <w:t xml:space="preserve"> repeat preventer prescriptions</w:t>
            </w:r>
            <w:r w:rsidRPr="00787F3F">
              <w:t xml:space="preserve"> </w:t>
            </w:r>
          </w:p>
          <w:p w:rsidR="00807AE2" w:rsidRPr="00807AE2" w:rsidRDefault="00807AE2" w:rsidP="00787F3F">
            <w:pPr>
              <w:pStyle w:val="ListParagraph"/>
              <w:ind w:left="47"/>
            </w:pPr>
          </w:p>
        </w:tc>
        <w:tc>
          <w:tcPr>
            <w:tcW w:w="5907" w:type="dxa"/>
          </w:tcPr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System in place to identify and manage high risk patients and ongoing audit to</w:t>
            </w:r>
            <w:r>
              <w:t xml:space="preserve"> </w:t>
            </w:r>
            <w:r w:rsidRPr="00787F3F">
              <w:t>demonstrate effectiveness.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2"/>
              </w:numPr>
              <w:ind w:left="555" w:hanging="426"/>
            </w:pPr>
            <w:r w:rsidRPr="00787F3F">
              <w:t xml:space="preserve">High </w:t>
            </w:r>
            <w:proofErr w:type="gramStart"/>
            <w:r w:rsidRPr="00787F3F">
              <w:t>risk register</w:t>
            </w:r>
            <w:proofErr w:type="gramEnd"/>
            <w:r w:rsidRPr="00787F3F">
              <w:t>.</w:t>
            </w:r>
          </w:p>
          <w:p w:rsidR="00787F3F" w:rsidRPr="00787F3F" w:rsidRDefault="00787F3F" w:rsidP="00787F3F">
            <w:pPr>
              <w:pStyle w:val="ListParagraph"/>
              <w:numPr>
                <w:ilvl w:val="0"/>
                <w:numId w:val="2"/>
              </w:numPr>
              <w:ind w:left="555" w:hanging="426"/>
            </w:pPr>
            <w:r w:rsidRPr="00787F3F">
              <w:t>Evidence of inhaler technique medication reviews.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Audit data demonstrating numbers of: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Referrals onto secondary/ tertiary care.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CYP admitted with asthma and frequency.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CYP on high risk register.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Patients admitted to HDU / PICU / ICU in last year.</w:t>
            </w:r>
          </w:p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Repeat attenders to A&amp;E / GP practice.</w:t>
            </w:r>
          </w:p>
          <w:p w:rsidR="00787F3F" w:rsidRDefault="00787F3F" w:rsidP="00787F3F"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Children with 10 or more salbutamol inhalers.</w:t>
            </w:r>
          </w:p>
          <w:p w:rsidR="00807AE2" w:rsidRPr="00807AE2" w:rsidRDefault="00787F3F" w:rsidP="00787F3F">
            <w:r w:rsidRPr="00787F3F">
              <w:t>»</w:t>
            </w:r>
            <w:r w:rsidRPr="00787F3F">
              <w:rPr>
                <w:rFonts w:hint="eastAsia"/>
              </w:rPr>
              <w:t>≫</w:t>
            </w:r>
            <w:r w:rsidRPr="00787F3F">
              <w:rPr>
                <w:rFonts w:hint="eastAsia"/>
              </w:rPr>
              <w:t xml:space="preserve"> Repeat preventer prescription.</w:t>
            </w:r>
          </w:p>
        </w:tc>
        <w:tc>
          <w:tcPr>
            <w:tcW w:w="1134" w:type="dxa"/>
          </w:tcPr>
          <w:p w:rsidR="00807AE2" w:rsidRDefault="00807AE2" w:rsidP="003470F9"/>
        </w:tc>
      </w:tr>
      <w:tr w:rsidR="00787F3F" w:rsidTr="00787F3F">
        <w:trPr>
          <w:trHeight w:val="598"/>
        </w:trPr>
        <w:tc>
          <w:tcPr>
            <w:tcW w:w="520" w:type="dxa"/>
          </w:tcPr>
          <w:p w:rsidR="00787F3F" w:rsidRPr="00787F3F" w:rsidRDefault="00787F3F" w:rsidP="003470F9">
            <w:r w:rsidRPr="00787F3F">
              <w:t>25</w:t>
            </w:r>
          </w:p>
        </w:tc>
        <w:tc>
          <w:tcPr>
            <w:tcW w:w="6155" w:type="dxa"/>
          </w:tcPr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There is access to paediatric physiotherapist with an interest in</w:t>
            </w:r>
            <w:r>
              <w:t xml:space="preserve"> </w:t>
            </w:r>
            <w:r w:rsidRPr="00787F3F">
              <w:t>dysfunctional breathing (ideally ability to direct refer from primary care).</w:t>
            </w:r>
            <w:r>
              <w:t xml:space="preserve"> </w:t>
            </w:r>
          </w:p>
        </w:tc>
        <w:tc>
          <w:tcPr>
            <w:tcW w:w="5907" w:type="dxa"/>
          </w:tcPr>
          <w:p w:rsidR="00787F3F" w:rsidRPr="00787F3F" w:rsidRDefault="00787F3F" w:rsidP="00787F3F">
            <w:pPr>
              <w:pStyle w:val="ListParagraph"/>
              <w:ind w:left="47"/>
            </w:pPr>
            <w:r w:rsidRPr="00787F3F">
              <w:t>Service specification or contract.</w:t>
            </w:r>
          </w:p>
        </w:tc>
        <w:tc>
          <w:tcPr>
            <w:tcW w:w="1134" w:type="dxa"/>
          </w:tcPr>
          <w:p w:rsidR="00787F3F" w:rsidRDefault="00787F3F" w:rsidP="003470F9"/>
        </w:tc>
      </w:tr>
    </w:tbl>
    <w:p w:rsidR="00091032" w:rsidRDefault="00091032"/>
    <w:sectPr w:rsidR="00091032" w:rsidSect="00EC78E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6AC"/>
    <w:multiLevelType w:val="hybridMultilevel"/>
    <w:tmpl w:val="78D0388C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23E3799F"/>
    <w:multiLevelType w:val="hybridMultilevel"/>
    <w:tmpl w:val="50D0D214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4A381B8D"/>
    <w:multiLevelType w:val="hybridMultilevel"/>
    <w:tmpl w:val="4AFE7BF6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BF"/>
    <w:rsid w:val="00091032"/>
    <w:rsid w:val="001668BF"/>
    <w:rsid w:val="00787F3F"/>
    <w:rsid w:val="00807AE2"/>
    <w:rsid w:val="00D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BF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BF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8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4</cp:revision>
  <dcterms:created xsi:type="dcterms:W3CDTF">2016-06-16T10:34:00Z</dcterms:created>
  <dcterms:modified xsi:type="dcterms:W3CDTF">2016-06-16T15:42:00Z</dcterms:modified>
</cp:coreProperties>
</file>