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EF" w:rsidRDefault="00B43C6D" w:rsidP="00CE3FD4">
      <w:pPr>
        <w:pStyle w:val="Transforming-body"/>
        <w:rPr>
          <w:noProof/>
          <w:lang w:eastAsia="en-GB"/>
        </w:rPr>
      </w:pPr>
      <w:r w:rsidRPr="00CE3FD4">
        <w:rPr>
          <w:noProof/>
          <w:lang w:eastAsia="en-GB"/>
        </w:rPr>
        <w:drawing>
          <wp:inline distT="0" distB="0" distL="0" distR="0" wp14:anchorId="22AAA787" wp14:editId="07E9B04D">
            <wp:extent cx="2196935" cy="54923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AD" w:rsidRDefault="005413AD" w:rsidP="005413AD">
      <w:pPr>
        <w:pStyle w:val="Title"/>
      </w:pPr>
      <w:bookmarkStart w:id="0" w:name="_GoBack"/>
      <w:r>
        <w:t xml:space="preserve">Children’s Asthma Service, Croydon </w:t>
      </w:r>
    </w:p>
    <w:bookmarkEnd w:id="0"/>
    <w:p w:rsidR="005413AD" w:rsidRDefault="005413AD" w:rsidP="005413AD">
      <w:pPr>
        <w:pStyle w:val="Subtitle"/>
      </w:pPr>
      <w:r>
        <w:t xml:space="preserve">Children’s Hospital at Home Team (Croydon NHS Trust); Croydon Clinical Commissioning Group; Croydon Health Services NHS Trust </w:t>
      </w:r>
    </w:p>
    <w:p w:rsidR="005413AD" w:rsidRDefault="005413AD" w:rsidP="005413AD">
      <w:pPr>
        <w:pStyle w:val="Heading1"/>
      </w:pPr>
      <w:r>
        <w:t>Aims</w:t>
      </w:r>
      <w:r>
        <w:tab/>
      </w:r>
    </w:p>
    <w:p w:rsidR="005413AD" w:rsidRDefault="005413AD" w:rsidP="00916260">
      <w:pPr>
        <w:pStyle w:val="Transforming-body"/>
        <w:numPr>
          <w:ilvl w:val="0"/>
          <w:numId w:val="18"/>
        </w:numPr>
        <w:ind w:left="714" w:hanging="357"/>
        <w:contextualSpacing/>
      </w:pPr>
      <w:r>
        <w:t>To improve outcomes in asthma management by increasing Children and Young people (CYP) and their carers’ confidence to deal with the patient</w:t>
      </w:r>
      <w:r w:rsidR="00916260">
        <w:t>’s condition and improving self-</w:t>
      </w:r>
      <w:r>
        <w:t xml:space="preserve">management skills. </w:t>
      </w:r>
    </w:p>
    <w:p w:rsidR="005413AD" w:rsidRDefault="005413AD" w:rsidP="00916260">
      <w:pPr>
        <w:pStyle w:val="Transforming-body"/>
        <w:numPr>
          <w:ilvl w:val="0"/>
          <w:numId w:val="18"/>
        </w:numPr>
        <w:ind w:left="714" w:hanging="357"/>
        <w:contextualSpacing/>
      </w:pPr>
      <w:r>
        <w:t>Reduce A&amp;E attendances for asthma/wheeze in CYP by 40%</w:t>
      </w:r>
    </w:p>
    <w:p w:rsidR="005413AD" w:rsidRDefault="005413AD" w:rsidP="00916260">
      <w:pPr>
        <w:pStyle w:val="Transforming-body"/>
        <w:numPr>
          <w:ilvl w:val="0"/>
          <w:numId w:val="18"/>
        </w:numPr>
        <w:ind w:left="714" w:hanging="357"/>
        <w:contextualSpacing/>
      </w:pPr>
      <w:r>
        <w:t>Reduce hospital admission for asthma and wheeze in CYP by 25%</w:t>
      </w:r>
    </w:p>
    <w:p w:rsidR="005413AD" w:rsidRDefault="005413AD" w:rsidP="00916260">
      <w:pPr>
        <w:pStyle w:val="Transforming-body"/>
        <w:numPr>
          <w:ilvl w:val="0"/>
          <w:numId w:val="18"/>
        </w:numPr>
        <w:ind w:left="714" w:hanging="357"/>
        <w:contextualSpacing/>
      </w:pPr>
      <w:r>
        <w:t>Reduce first outpatient follow ups for CYP by 25%</w:t>
      </w:r>
    </w:p>
    <w:p w:rsidR="005413AD" w:rsidRDefault="005413AD" w:rsidP="005413AD">
      <w:pPr>
        <w:pStyle w:val="Heading1"/>
      </w:pPr>
      <w:r>
        <w:t>Rationale</w:t>
      </w:r>
      <w:r>
        <w:tab/>
      </w:r>
    </w:p>
    <w:p w:rsidR="005413AD" w:rsidRDefault="005413AD" w:rsidP="005413AD">
      <w:pPr>
        <w:pStyle w:val="Transforming-body"/>
      </w:pPr>
      <w:r>
        <w:t xml:space="preserve">Emergency admissions for CYP with asthma and wheeze has risen considerably in the last 5 years, forming the second highest reason for emergency admissions in Croydon for 0-18’s. This age group currently forms approximately 27% of the population (higher than the national average). </w:t>
      </w:r>
    </w:p>
    <w:p w:rsidR="005413AD" w:rsidRDefault="005413AD" w:rsidP="005413AD">
      <w:pPr>
        <w:pStyle w:val="Transforming-body"/>
      </w:pPr>
      <w:r>
        <w:t>Currently 3,751 children in Croydon with asthma diagnosis (sourced from Quality Outcome Framework data)</w:t>
      </w:r>
    </w:p>
    <w:p w:rsidR="005413AD" w:rsidRDefault="005413AD" w:rsidP="005413AD">
      <w:pPr>
        <w:pStyle w:val="Heading1"/>
      </w:pPr>
      <w:r>
        <w:t>Development</w:t>
      </w:r>
      <w:r>
        <w:tab/>
      </w:r>
    </w:p>
    <w:p w:rsidR="005413AD" w:rsidRDefault="005413AD" w:rsidP="005413AD">
      <w:pPr>
        <w:pStyle w:val="Transforming-body"/>
      </w:pPr>
      <w:r>
        <w:t xml:space="preserve">Providing one-to-one intervention to support CYP and their families to make the right choices to manage their own asthma by giving information about their condition and providing clinical expertise. </w:t>
      </w:r>
    </w:p>
    <w:p w:rsidR="005413AD" w:rsidRDefault="005413AD" w:rsidP="005413AD">
      <w:pPr>
        <w:pStyle w:val="Heading1"/>
      </w:pPr>
      <w:r>
        <w:t>What did we do?</w:t>
      </w:r>
      <w:r>
        <w:tab/>
      </w:r>
    </w:p>
    <w:p w:rsidR="005413AD" w:rsidRDefault="005413AD" w:rsidP="005413AD">
      <w:pPr>
        <w:pStyle w:val="Transforming-body"/>
      </w:pPr>
      <w:r>
        <w:t xml:space="preserve">Development of a service to focus on the prevention of ill health through education, effective self-care, and accessible and responsive services. </w:t>
      </w:r>
    </w:p>
    <w:p w:rsidR="005413AD" w:rsidRDefault="005413AD" w:rsidP="005413AD">
      <w:pPr>
        <w:pStyle w:val="Transforming-body"/>
      </w:pPr>
      <w:r>
        <w:t xml:space="preserve">100% of patients visited have inhaler technique check and personalised asthma action plan. </w:t>
      </w:r>
    </w:p>
    <w:p w:rsidR="005413AD" w:rsidRDefault="005413AD" w:rsidP="005413AD">
      <w:pPr>
        <w:pStyle w:val="Heading1"/>
      </w:pPr>
      <w:r>
        <w:t>Top Tips</w:t>
      </w:r>
      <w:r>
        <w:tab/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 xml:space="preserve">Development of policies, procedures and Service Operational Policies 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 xml:space="preserve">Identifying and challenging poor practice and disseminating best practice in the management of CYP with asthma (6 training sessions to healthcare professionals per year as part of our service specification). 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 xml:space="preserve">Meeting patient needs with one-off intervention only 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 xml:space="preserve">Establishment of referral pathway with secondary and primary care 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>Out of area patients (those not registered with a Croydon GP)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>Due to population cohort - facilitating written resources in different languages (face-to-face interpreters used at home visits)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>No paediatrician lead for asthma initially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>Conflicting key performance indicators (KPI’s) from our service and A and E, This means if the asthma service reduces attendance of asthmatics at A and E, then the  A and E/ hospital trust loses money.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>Innovative use of social media when working with CYP and through raising awareness e.g. Asthma Advent calendar (see trigger cards, young person poster and squad teaching cards)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>Development of school workshops to meet the volume of patients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 xml:space="preserve">Flexible  (weekend) working to meet patient need </w:t>
      </w:r>
    </w:p>
    <w:p w:rsidR="005413AD" w:rsidRDefault="005413AD" w:rsidP="00916260">
      <w:pPr>
        <w:pStyle w:val="Transforming-body"/>
        <w:numPr>
          <w:ilvl w:val="0"/>
          <w:numId w:val="17"/>
        </w:numPr>
        <w:ind w:left="714" w:hanging="357"/>
        <w:contextualSpacing/>
      </w:pPr>
      <w:r>
        <w:t xml:space="preserve">Text messaging service to deliver important health messages </w:t>
      </w:r>
    </w:p>
    <w:p w:rsidR="00916260" w:rsidRDefault="005413AD" w:rsidP="00916260">
      <w:pPr>
        <w:pStyle w:val="Heading1"/>
      </w:pPr>
      <w:r>
        <w:t>Outcomes</w:t>
      </w:r>
      <w:r>
        <w:tab/>
      </w:r>
    </w:p>
    <w:p w:rsidR="005413AD" w:rsidRDefault="005413AD" w:rsidP="00916260">
      <w:pPr>
        <w:pStyle w:val="Transforming-body"/>
        <w:numPr>
          <w:ilvl w:val="0"/>
          <w:numId w:val="16"/>
        </w:numPr>
        <w:ind w:left="714" w:hanging="357"/>
        <w:contextualSpacing/>
      </w:pPr>
      <w:r>
        <w:t>Improved patient concordance with treatment</w:t>
      </w:r>
    </w:p>
    <w:p w:rsidR="005413AD" w:rsidRDefault="005413AD" w:rsidP="00916260">
      <w:pPr>
        <w:pStyle w:val="Transforming-body"/>
        <w:numPr>
          <w:ilvl w:val="0"/>
          <w:numId w:val="16"/>
        </w:numPr>
        <w:ind w:left="714" w:hanging="357"/>
        <w:contextualSpacing/>
      </w:pPr>
      <w:r>
        <w:t>Improved asthma control for patients</w:t>
      </w:r>
    </w:p>
    <w:p w:rsidR="005413AD" w:rsidRDefault="005413AD" w:rsidP="00916260">
      <w:pPr>
        <w:pStyle w:val="Transforming-body"/>
        <w:numPr>
          <w:ilvl w:val="0"/>
          <w:numId w:val="16"/>
        </w:numPr>
        <w:ind w:left="714" w:hanging="357"/>
        <w:contextualSpacing/>
      </w:pPr>
      <w:r>
        <w:t>Improved asthma related quality of life</w:t>
      </w:r>
    </w:p>
    <w:p w:rsidR="005413AD" w:rsidRDefault="005413AD" w:rsidP="00916260">
      <w:pPr>
        <w:pStyle w:val="Transforming-body"/>
        <w:numPr>
          <w:ilvl w:val="0"/>
          <w:numId w:val="16"/>
        </w:numPr>
        <w:ind w:left="714" w:hanging="357"/>
        <w:contextualSpacing/>
      </w:pPr>
      <w:r>
        <w:t>Reduced unplanned hospitalisation rate due to asthma/wheeze</w:t>
      </w:r>
    </w:p>
    <w:p w:rsidR="005413AD" w:rsidRDefault="005413AD" w:rsidP="00916260">
      <w:pPr>
        <w:pStyle w:val="Transforming-body"/>
        <w:numPr>
          <w:ilvl w:val="0"/>
          <w:numId w:val="16"/>
        </w:numPr>
        <w:ind w:left="714" w:hanging="357"/>
        <w:contextualSpacing/>
      </w:pPr>
      <w:r>
        <w:t>Reduced re-admission rates following discharge from hospital due to asthma/wheeze</w:t>
      </w:r>
    </w:p>
    <w:p w:rsidR="005413AD" w:rsidRDefault="005413AD" w:rsidP="00916260">
      <w:pPr>
        <w:pStyle w:val="Transforming-body"/>
        <w:numPr>
          <w:ilvl w:val="0"/>
          <w:numId w:val="16"/>
        </w:numPr>
        <w:ind w:left="714" w:hanging="357"/>
        <w:contextualSpacing/>
      </w:pPr>
      <w:r>
        <w:t>Improved school attendance for children and young people with asthma</w:t>
      </w:r>
    </w:p>
    <w:p w:rsidR="005413AD" w:rsidRDefault="005413AD" w:rsidP="00916260">
      <w:pPr>
        <w:pStyle w:val="Transforming-body"/>
        <w:numPr>
          <w:ilvl w:val="0"/>
          <w:numId w:val="16"/>
        </w:numPr>
        <w:ind w:left="714" w:hanging="357"/>
        <w:contextualSpacing/>
      </w:pPr>
      <w:r>
        <w:t>Patient and carer satisfaction (Friends and Family Test)</w:t>
      </w:r>
    </w:p>
    <w:p w:rsidR="00916260" w:rsidRDefault="005413AD" w:rsidP="00916260">
      <w:pPr>
        <w:pStyle w:val="Heading1"/>
      </w:pPr>
      <w:r>
        <w:t>Sustainability</w:t>
      </w:r>
      <w:r>
        <w:tab/>
      </w:r>
    </w:p>
    <w:p w:rsidR="005413AD" w:rsidRDefault="005413AD" w:rsidP="005413AD">
      <w:pPr>
        <w:pStyle w:val="Transforming-body"/>
      </w:pPr>
      <w:r>
        <w:t>Plans in place to ensure continuation of service</w:t>
      </w:r>
    </w:p>
    <w:p w:rsidR="00916260" w:rsidRDefault="005413AD" w:rsidP="00916260">
      <w:pPr>
        <w:pStyle w:val="Heading1"/>
      </w:pPr>
      <w:r>
        <w:t>Contact</w:t>
      </w:r>
      <w:r>
        <w:tab/>
      </w:r>
    </w:p>
    <w:p w:rsidR="005413AD" w:rsidRDefault="005413AD" w:rsidP="005413AD">
      <w:pPr>
        <w:pStyle w:val="Transforming-body"/>
      </w:pPr>
      <w:r>
        <w:t>Jackie Moxon, Jo Massey and Ruth Mirza (Asthma Nurses)</w:t>
      </w:r>
    </w:p>
    <w:p w:rsidR="005413AD" w:rsidRDefault="005413AD" w:rsidP="005413AD">
      <w:pPr>
        <w:pStyle w:val="Transforming-body"/>
      </w:pPr>
      <w:r>
        <w:t>Judy Ardley (Clinical Team Leader)</w:t>
      </w:r>
    </w:p>
    <w:p w:rsidR="005413AD" w:rsidRDefault="005413AD" w:rsidP="005413AD">
      <w:pPr>
        <w:pStyle w:val="Transforming-body"/>
      </w:pPr>
      <w:r>
        <w:t>Mhn-tr.CHAHAsthma@nhs.net</w:t>
      </w:r>
    </w:p>
    <w:p w:rsidR="005413AD" w:rsidRDefault="005413AD" w:rsidP="005413AD">
      <w:pPr>
        <w:pStyle w:val="Transforming-body"/>
      </w:pPr>
      <w:r>
        <w:t>Croydon Health Services NHS Trust (community services)</w:t>
      </w:r>
    </w:p>
    <w:p w:rsidR="005413AD" w:rsidRDefault="005413AD" w:rsidP="005413AD">
      <w:pPr>
        <w:pStyle w:val="Transforming-body"/>
      </w:pPr>
      <w:r>
        <w:t>12-18 Lennard Road, Croydon. CR9 2RS</w:t>
      </w:r>
    </w:p>
    <w:p w:rsidR="005413AD" w:rsidRPr="005413AD" w:rsidRDefault="005413AD" w:rsidP="005413AD">
      <w:pPr>
        <w:pStyle w:val="Transforming-body"/>
      </w:pPr>
      <w:r>
        <w:t>0208 274 6422 or 0208 274 6317</w:t>
      </w:r>
    </w:p>
    <w:sectPr w:rsidR="005413AD" w:rsidRPr="005413AD" w:rsidSect="002353AF">
      <w:headerReference w:type="default" r:id="rId10"/>
      <w:footerReference w:type="default" r:id="rId11"/>
      <w:footerReference w:type="first" r:id="rId12"/>
      <w:pgSz w:w="11906" w:h="16838" w:code="9"/>
      <w:pgMar w:top="1247" w:right="1247" w:bottom="851" w:left="1247" w:header="709" w:footer="2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AD" w:rsidRDefault="005413AD" w:rsidP="004850ED">
      <w:pPr>
        <w:spacing w:after="0" w:line="240" w:lineRule="auto"/>
      </w:pPr>
      <w:r>
        <w:separator/>
      </w:r>
    </w:p>
  </w:endnote>
  <w:endnote w:type="continuationSeparator" w:id="0">
    <w:p w:rsidR="005413AD" w:rsidRDefault="005413AD" w:rsidP="004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873"/>
    </w:tblGrid>
    <w:tr w:rsidR="005413AD" w:rsidTr="00484CDD">
      <w:trPr>
        <w:trHeight w:val="340"/>
      </w:trPr>
      <w:tc>
        <w:tcPr>
          <w:tcW w:w="8647" w:type="dxa"/>
          <w:vAlign w:val="center"/>
        </w:tcPr>
        <w:p w:rsidR="005413AD" w:rsidRPr="00CE3FD4" w:rsidRDefault="005413AD" w:rsidP="00484CDD">
          <w:pPr>
            <w:pStyle w:val="Footer"/>
            <w:rPr>
              <w:i/>
              <w:color w:val="0070C0"/>
              <w:sz w:val="16"/>
              <w:szCs w:val="16"/>
            </w:rPr>
          </w:pPr>
          <w:r w:rsidRPr="00CE3FD4">
            <w:rPr>
              <w:i/>
              <w:color w:val="0070C0"/>
              <w:sz w:val="16"/>
              <w:szCs w:val="16"/>
            </w:rPr>
            <w:t>Supported by and delivering for London’s NHS, London Councils, Public Health England and the Mayor of London</w:t>
          </w:r>
        </w:p>
      </w:tc>
      <w:tc>
        <w:tcPr>
          <w:tcW w:w="873" w:type="dxa"/>
          <w:vAlign w:val="center"/>
        </w:tcPr>
        <w:p w:rsidR="005413AD" w:rsidRPr="002D1B18" w:rsidRDefault="005413AD" w:rsidP="00484CDD">
          <w:pPr>
            <w:pStyle w:val="Footer"/>
            <w:jc w:val="right"/>
            <w:rPr>
              <w:i/>
              <w:color w:val="0070C0"/>
              <w:sz w:val="20"/>
              <w:szCs w:val="20"/>
            </w:rPr>
          </w:pPr>
          <w:r>
            <w:rPr>
              <w:i/>
              <w:color w:val="0070C0"/>
              <w:sz w:val="20"/>
              <w:szCs w:val="20"/>
            </w:rPr>
            <w:fldChar w:fldCharType="begin"/>
          </w:r>
          <w:r>
            <w:rPr>
              <w:i/>
              <w:color w:val="0070C0"/>
              <w:sz w:val="20"/>
              <w:szCs w:val="20"/>
            </w:rPr>
            <w:instrText xml:space="preserve"> PAGE  \* Arabic  \* MERGEFORMAT </w:instrText>
          </w:r>
          <w:r>
            <w:rPr>
              <w:i/>
              <w:color w:val="0070C0"/>
              <w:sz w:val="20"/>
              <w:szCs w:val="20"/>
            </w:rPr>
            <w:fldChar w:fldCharType="separate"/>
          </w:r>
          <w:r w:rsidR="00916260">
            <w:rPr>
              <w:i/>
              <w:noProof/>
              <w:color w:val="0070C0"/>
              <w:sz w:val="20"/>
              <w:szCs w:val="20"/>
            </w:rPr>
            <w:t>2</w:t>
          </w:r>
          <w:r>
            <w:rPr>
              <w:i/>
              <w:color w:val="0070C0"/>
              <w:sz w:val="20"/>
              <w:szCs w:val="20"/>
            </w:rPr>
            <w:fldChar w:fldCharType="end"/>
          </w:r>
        </w:p>
      </w:tc>
    </w:tr>
  </w:tbl>
  <w:p w:rsidR="005413AD" w:rsidRDefault="005413AD" w:rsidP="00701A43">
    <w:pPr>
      <w:pStyle w:val="Footer"/>
      <w:jc w:val="center"/>
    </w:pPr>
  </w:p>
  <w:p w:rsidR="005413AD" w:rsidRDefault="005413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95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3AD" w:rsidRDefault="005413AD">
        <w:pPr>
          <w:pStyle w:val="Footer"/>
          <w:jc w:val="center"/>
        </w:pPr>
      </w:p>
      <w:tbl>
        <w:tblPr>
          <w:tblStyle w:val="TableGrid"/>
          <w:tblW w:w="0" w:type="auto"/>
          <w:tblInd w:w="108" w:type="dxa"/>
          <w:tblBorders>
            <w:top w:val="single" w:sz="4" w:space="0" w:color="0070C0"/>
            <w:left w:val="none" w:sz="0" w:space="0" w:color="auto"/>
            <w:bottom w:val="single" w:sz="4" w:space="0" w:color="0070C0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47"/>
          <w:gridCol w:w="873"/>
        </w:tblGrid>
        <w:tr w:rsidR="005413AD" w:rsidTr="00484CDD">
          <w:trPr>
            <w:trHeight w:val="340"/>
          </w:trPr>
          <w:tc>
            <w:tcPr>
              <w:tcW w:w="8647" w:type="dxa"/>
              <w:vAlign w:val="center"/>
            </w:tcPr>
            <w:p w:rsidR="005413AD" w:rsidRPr="002D1B18" w:rsidRDefault="005413AD" w:rsidP="00484CDD">
              <w:pPr>
                <w:pStyle w:val="Footer"/>
                <w:ind w:left="-142"/>
                <w:rPr>
                  <w:i/>
                  <w:color w:val="0070C0"/>
                  <w:sz w:val="20"/>
                  <w:szCs w:val="20"/>
                </w:rPr>
              </w:pPr>
              <w:r w:rsidRPr="002D1B18">
                <w:rPr>
                  <w:i/>
                  <w:color w:val="0070C0"/>
                  <w:sz w:val="20"/>
                  <w:szCs w:val="20"/>
                </w:rPr>
                <w:t>Supported by and delivering for London’s NHS, Public Health England and the Mayor of London</w:t>
              </w:r>
            </w:p>
          </w:tc>
          <w:tc>
            <w:tcPr>
              <w:tcW w:w="873" w:type="dxa"/>
              <w:vAlign w:val="center"/>
            </w:tcPr>
            <w:p w:rsidR="005413AD" w:rsidRPr="002D1B18" w:rsidRDefault="005413AD" w:rsidP="00484CDD">
              <w:pPr>
                <w:pStyle w:val="Footer"/>
                <w:jc w:val="right"/>
                <w:rPr>
                  <w:i/>
                  <w:color w:val="0070C0"/>
                  <w:sz w:val="20"/>
                  <w:szCs w:val="20"/>
                </w:rPr>
              </w:pPr>
              <w:r>
                <w:rPr>
                  <w:i/>
                  <w:color w:val="0070C0"/>
                  <w:sz w:val="20"/>
                  <w:szCs w:val="20"/>
                </w:rPr>
                <w:fldChar w:fldCharType="begin"/>
              </w:r>
              <w:r>
                <w:rPr>
                  <w:i/>
                  <w:color w:val="0070C0"/>
                  <w:sz w:val="20"/>
                  <w:szCs w:val="20"/>
                </w:rPr>
                <w:instrText xml:space="preserve"> PAGE  \* Arabic  \* MERGEFORMAT </w:instrText>
              </w:r>
              <w:r>
                <w:rPr>
                  <w:i/>
                  <w:color w:val="0070C0"/>
                  <w:sz w:val="20"/>
                  <w:szCs w:val="20"/>
                </w:rPr>
                <w:fldChar w:fldCharType="separate"/>
              </w:r>
              <w:r>
                <w:rPr>
                  <w:i/>
                  <w:noProof/>
                  <w:color w:val="0070C0"/>
                  <w:sz w:val="20"/>
                  <w:szCs w:val="20"/>
                </w:rPr>
                <w:t>1</w:t>
              </w:r>
              <w:r>
                <w:rPr>
                  <w:i/>
                  <w:color w:val="0070C0"/>
                  <w:sz w:val="20"/>
                  <w:szCs w:val="20"/>
                </w:rPr>
                <w:fldChar w:fldCharType="end"/>
              </w:r>
            </w:p>
          </w:tc>
        </w:tr>
      </w:tbl>
      <w:p w:rsidR="005413AD" w:rsidRDefault="005413AD">
        <w:pPr>
          <w:pStyle w:val="Footer"/>
          <w:jc w:val="center"/>
        </w:pPr>
      </w:p>
      <w:p w:rsidR="005413AD" w:rsidRDefault="005413AD" w:rsidP="002353AF">
        <w:pPr>
          <w:pStyle w:val="Footer"/>
        </w:pPr>
      </w:p>
    </w:sdtContent>
  </w:sdt>
  <w:p w:rsidR="005413AD" w:rsidRDefault="00541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AD" w:rsidRDefault="005413AD" w:rsidP="004850ED">
      <w:pPr>
        <w:spacing w:after="0" w:line="240" w:lineRule="auto"/>
      </w:pPr>
      <w:r>
        <w:separator/>
      </w:r>
    </w:p>
  </w:footnote>
  <w:footnote w:type="continuationSeparator" w:id="0">
    <w:p w:rsidR="005413AD" w:rsidRDefault="005413AD" w:rsidP="0048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AD" w:rsidRPr="00F55314" w:rsidRDefault="00916260" w:rsidP="00CE3FD4">
    <w:pPr>
      <w:pStyle w:val="Header"/>
      <w:pBdr>
        <w:bottom w:val="single" w:sz="4" w:space="1" w:color="0072C6"/>
      </w:pBdr>
      <w:tabs>
        <w:tab w:val="clear" w:pos="4513"/>
        <w:tab w:val="clear" w:pos="9026"/>
        <w:tab w:val="left" w:pos="8647"/>
      </w:tabs>
      <w:rPr>
        <w:color w:val="595959" w:themeColor="text1" w:themeTint="A6"/>
      </w:rPr>
    </w:pPr>
    <w:r w:rsidRPr="00916260">
      <w:rPr>
        <w:rFonts w:cs="Arial"/>
        <w:b/>
        <w:i/>
        <w:color w:val="404040" w:themeColor="text1" w:themeTint="BF"/>
      </w:rPr>
      <w:t>Children’s Asthma Service, Croydon</w:t>
    </w:r>
    <w:r w:rsidR="005413AD">
      <w:rPr>
        <w:rFonts w:cs="Arial"/>
        <w:b/>
        <w:i/>
        <w:color w:val="404040" w:themeColor="text1" w:themeTint="BF"/>
      </w:rPr>
      <w:t>: case study</w:t>
    </w:r>
    <w:r w:rsidR="005413AD" w:rsidRPr="00F55314">
      <w:rPr>
        <w:color w:val="595959" w:themeColor="text1" w:themeTint="A6"/>
      </w:rPr>
      <w:tab/>
    </w:r>
    <w:r w:rsidR="005413AD">
      <w:rPr>
        <w:color w:val="595959" w:themeColor="text1" w:themeTint="A6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6A"/>
    <w:multiLevelType w:val="hybridMultilevel"/>
    <w:tmpl w:val="FCB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A3B"/>
    <w:multiLevelType w:val="hybridMultilevel"/>
    <w:tmpl w:val="7C962C44"/>
    <w:lvl w:ilvl="0" w:tplc="AA945F1C">
      <w:start w:val="1"/>
      <w:numFmt w:val="bullet"/>
      <w:pStyle w:val="HLPbullet2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F092E"/>
    <w:multiLevelType w:val="hybridMultilevel"/>
    <w:tmpl w:val="B178D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0389A"/>
    <w:multiLevelType w:val="hybridMultilevel"/>
    <w:tmpl w:val="FFF0568A"/>
    <w:lvl w:ilvl="0" w:tplc="70FE2D0A">
      <w:start w:val="1"/>
      <w:numFmt w:val="bullet"/>
      <w:pStyle w:val="HLP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B3DD1"/>
    <w:multiLevelType w:val="hybridMultilevel"/>
    <w:tmpl w:val="7024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31B61"/>
    <w:multiLevelType w:val="hybridMultilevel"/>
    <w:tmpl w:val="1078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A28F6"/>
    <w:multiLevelType w:val="hybridMultilevel"/>
    <w:tmpl w:val="531A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76943"/>
    <w:multiLevelType w:val="hybridMultilevel"/>
    <w:tmpl w:val="FC8E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20B04"/>
    <w:multiLevelType w:val="hybridMultilevel"/>
    <w:tmpl w:val="7A32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00BC4"/>
    <w:multiLevelType w:val="hybridMultilevel"/>
    <w:tmpl w:val="2D82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61396"/>
    <w:multiLevelType w:val="hybridMultilevel"/>
    <w:tmpl w:val="F602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A27AB"/>
    <w:multiLevelType w:val="hybridMultilevel"/>
    <w:tmpl w:val="0092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1109F"/>
    <w:multiLevelType w:val="hybridMultilevel"/>
    <w:tmpl w:val="AFA2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370AA"/>
    <w:multiLevelType w:val="hybridMultilevel"/>
    <w:tmpl w:val="1324C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F5C71"/>
    <w:multiLevelType w:val="hybridMultilevel"/>
    <w:tmpl w:val="B23A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3711C"/>
    <w:multiLevelType w:val="hybridMultilevel"/>
    <w:tmpl w:val="1EA4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71155"/>
    <w:multiLevelType w:val="hybridMultilevel"/>
    <w:tmpl w:val="094CF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D676E"/>
    <w:multiLevelType w:val="hybridMultilevel"/>
    <w:tmpl w:val="B40C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14"/>
  </w:num>
  <w:num w:numId="9">
    <w:abstractNumId w:val="0"/>
  </w:num>
  <w:num w:numId="10">
    <w:abstractNumId w:val="16"/>
  </w:num>
  <w:num w:numId="11">
    <w:abstractNumId w:val="4"/>
  </w:num>
  <w:num w:numId="12">
    <w:abstractNumId w:val="12"/>
  </w:num>
  <w:num w:numId="13">
    <w:abstractNumId w:val="11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43"/>
    <w:rsid w:val="001B4896"/>
    <w:rsid w:val="001D64A0"/>
    <w:rsid w:val="001E0FE0"/>
    <w:rsid w:val="001F32B1"/>
    <w:rsid w:val="002353AF"/>
    <w:rsid w:val="00305B4C"/>
    <w:rsid w:val="00484CDD"/>
    <w:rsid w:val="004850ED"/>
    <w:rsid w:val="004D7748"/>
    <w:rsid w:val="005413AD"/>
    <w:rsid w:val="00632EA0"/>
    <w:rsid w:val="0066175F"/>
    <w:rsid w:val="00695C6D"/>
    <w:rsid w:val="00701A43"/>
    <w:rsid w:val="008F6E4F"/>
    <w:rsid w:val="00916260"/>
    <w:rsid w:val="00916DAF"/>
    <w:rsid w:val="009426EF"/>
    <w:rsid w:val="00951299"/>
    <w:rsid w:val="00990F74"/>
    <w:rsid w:val="009E0C01"/>
    <w:rsid w:val="00B00098"/>
    <w:rsid w:val="00B07CA0"/>
    <w:rsid w:val="00B13CF4"/>
    <w:rsid w:val="00B43C6D"/>
    <w:rsid w:val="00BD1355"/>
    <w:rsid w:val="00C326FD"/>
    <w:rsid w:val="00CE3FD4"/>
    <w:rsid w:val="00E60413"/>
    <w:rsid w:val="00E75451"/>
    <w:rsid w:val="00E93404"/>
    <w:rsid w:val="00EC1E86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51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451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451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51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-body">
    <w:name w:val="HLP-body"/>
    <w:basedOn w:val="Normal"/>
    <w:qFormat/>
    <w:rsid w:val="00E75451"/>
    <w:pPr>
      <w:spacing w:before="120" w:after="240"/>
    </w:pPr>
    <w:rPr>
      <w:color w:val="404040" w:themeColor="text1" w:themeTint="BF"/>
    </w:rPr>
  </w:style>
  <w:style w:type="paragraph" w:customStyle="1" w:styleId="HLPbullet1">
    <w:name w:val="HLP bullet 1"/>
    <w:basedOn w:val="HLP-body"/>
    <w:qFormat/>
    <w:rsid w:val="00E75451"/>
    <w:pPr>
      <w:numPr>
        <w:numId w:val="2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E75451"/>
    <w:pPr>
      <w:numPr>
        <w:numId w:val="4"/>
      </w:numPr>
      <w:spacing w:after="120"/>
      <w:ind w:left="1276" w:hanging="357"/>
    </w:pPr>
  </w:style>
  <w:style w:type="table" w:customStyle="1" w:styleId="TableGrid11">
    <w:name w:val="Table Grid11"/>
    <w:basedOn w:val="TableNormal"/>
    <w:next w:val="TableGrid"/>
    <w:rsid w:val="00CE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484CDD"/>
  </w:style>
  <w:style w:type="character" w:customStyle="1" w:styleId="nlmgiven-names">
    <w:name w:val="nlm_given-names"/>
    <w:basedOn w:val="DefaultParagraphFont"/>
    <w:rsid w:val="00484CDD"/>
  </w:style>
  <w:style w:type="character" w:customStyle="1" w:styleId="nlmarticle-title">
    <w:name w:val="nlm_article-title"/>
    <w:basedOn w:val="DefaultParagraphFont"/>
    <w:rsid w:val="00484CDD"/>
  </w:style>
  <w:style w:type="character" w:customStyle="1" w:styleId="nlmyear">
    <w:name w:val="nlm_year"/>
    <w:basedOn w:val="DefaultParagraphFont"/>
    <w:rsid w:val="00484CDD"/>
  </w:style>
  <w:style w:type="character" w:customStyle="1" w:styleId="nlmfpage">
    <w:name w:val="nlm_fpage"/>
    <w:basedOn w:val="DefaultParagraphFont"/>
    <w:rsid w:val="00484CDD"/>
  </w:style>
  <w:style w:type="character" w:customStyle="1" w:styleId="nlmlpage">
    <w:name w:val="nlm_lpage"/>
    <w:basedOn w:val="DefaultParagraphFont"/>
    <w:rsid w:val="00484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51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451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451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51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-body">
    <w:name w:val="HLP-body"/>
    <w:basedOn w:val="Normal"/>
    <w:qFormat/>
    <w:rsid w:val="00E75451"/>
    <w:pPr>
      <w:spacing w:before="120" w:after="240"/>
    </w:pPr>
    <w:rPr>
      <w:color w:val="404040" w:themeColor="text1" w:themeTint="BF"/>
    </w:rPr>
  </w:style>
  <w:style w:type="paragraph" w:customStyle="1" w:styleId="HLPbullet1">
    <w:name w:val="HLP bullet 1"/>
    <w:basedOn w:val="HLP-body"/>
    <w:qFormat/>
    <w:rsid w:val="00E75451"/>
    <w:pPr>
      <w:numPr>
        <w:numId w:val="2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E75451"/>
    <w:pPr>
      <w:numPr>
        <w:numId w:val="4"/>
      </w:numPr>
      <w:spacing w:after="120"/>
      <w:ind w:left="1276" w:hanging="357"/>
    </w:pPr>
  </w:style>
  <w:style w:type="table" w:customStyle="1" w:styleId="TableGrid11">
    <w:name w:val="Table Grid11"/>
    <w:basedOn w:val="TableNormal"/>
    <w:next w:val="TableGrid"/>
    <w:rsid w:val="00CE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484CDD"/>
  </w:style>
  <w:style w:type="character" w:customStyle="1" w:styleId="nlmgiven-names">
    <w:name w:val="nlm_given-names"/>
    <w:basedOn w:val="DefaultParagraphFont"/>
    <w:rsid w:val="00484CDD"/>
  </w:style>
  <w:style w:type="character" w:customStyle="1" w:styleId="nlmarticle-title">
    <w:name w:val="nlm_article-title"/>
    <w:basedOn w:val="DefaultParagraphFont"/>
    <w:rsid w:val="00484CDD"/>
  </w:style>
  <w:style w:type="character" w:customStyle="1" w:styleId="nlmyear">
    <w:name w:val="nlm_year"/>
    <w:basedOn w:val="DefaultParagraphFont"/>
    <w:rsid w:val="00484CDD"/>
  </w:style>
  <w:style w:type="character" w:customStyle="1" w:styleId="nlmfpage">
    <w:name w:val="nlm_fpage"/>
    <w:basedOn w:val="DefaultParagraphFont"/>
    <w:rsid w:val="00484CDD"/>
  </w:style>
  <w:style w:type="character" w:customStyle="1" w:styleId="nlmlpage">
    <w:name w:val="nlm_lpage"/>
    <w:basedOn w:val="DefaultParagraphFont"/>
    <w:rsid w:val="0048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CC3C-3E07-408A-A4B0-DEC8FCB4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Boyle</dc:creator>
  <cp:lastModifiedBy>Kim Boyle</cp:lastModifiedBy>
  <cp:revision>2</cp:revision>
  <cp:lastPrinted>2015-04-01T14:18:00Z</cp:lastPrinted>
  <dcterms:created xsi:type="dcterms:W3CDTF">2018-08-06T16:11:00Z</dcterms:created>
  <dcterms:modified xsi:type="dcterms:W3CDTF">2018-08-06T16:11:00Z</dcterms:modified>
</cp:coreProperties>
</file>