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1275"/>
        <w:tblW w:w="10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96"/>
        <w:gridCol w:w="8358"/>
      </w:tblGrid>
      <w:tr w:rsidR="00E60258" w:rsidRPr="00E60258" w:rsidTr="001755CD">
        <w:tc>
          <w:tcPr>
            <w:tcW w:w="10054" w:type="dxa"/>
            <w:gridSpan w:val="2"/>
          </w:tcPr>
          <w:p w:rsidR="00E60258" w:rsidRPr="00E60258" w:rsidRDefault="001755CD" w:rsidP="001755CD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8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8"/>
              </w:rPr>
              <w:t xml:space="preserve">Healthy </w:t>
            </w:r>
            <w:r w:rsidR="00E60258" w:rsidRPr="00E60258">
              <w:rPr>
                <w:rFonts w:ascii="Arial" w:hAnsi="Arial" w:cs="Arial"/>
                <w:b/>
                <w:color w:val="404040" w:themeColor="text1" w:themeTint="BF"/>
                <w:sz w:val="28"/>
              </w:rPr>
              <w:t xml:space="preserve">London </w:t>
            </w:r>
            <w:r>
              <w:rPr>
                <w:rFonts w:ascii="Arial" w:hAnsi="Arial" w:cs="Arial"/>
                <w:b/>
                <w:color w:val="404040" w:themeColor="text1" w:themeTint="BF"/>
                <w:sz w:val="28"/>
              </w:rPr>
              <w:t xml:space="preserve">Partnership </w:t>
            </w:r>
          </w:p>
          <w:p w:rsidR="00E60258" w:rsidRPr="00E60258" w:rsidRDefault="00E60258" w:rsidP="001755CD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8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  <w:sz w:val="28"/>
              </w:rPr>
              <w:t>Examples of good practice in Asthma Care</w:t>
            </w:r>
          </w:p>
        </w:tc>
      </w:tr>
      <w:tr w:rsidR="00E60258" w:rsidRPr="00E60258" w:rsidTr="001755CD">
        <w:trPr>
          <w:trHeight w:val="815"/>
        </w:trPr>
        <w:tc>
          <w:tcPr>
            <w:tcW w:w="1696" w:type="dxa"/>
          </w:tcPr>
          <w:p w:rsidR="00E60258" w:rsidRPr="00E60258" w:rsidRDefault="00E60258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</w:rPr>
              <w:t>Title of Project</w:t>
            </w:r>
          </w:p>
        </w:tc>
        <w:tc>
          <w:tcPr>
            <w:tcW w:w="8358" w:type="dxa"/>
          </w:tcPr>
          <w:p w:rsidR="00E60258" w:rsidRPr="00E60258" w:rsidRDefault="00F4630E" w:rsidP="001755CD">
            <w:pPr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 xml:space="preserve">Reshaping the CWHHE </w:t>
            </w:r>
            <w:proofErr w:type="spellStart"/>
            <w:r>
              <w:rPr>
                <w:rFonts w:ascii="Arial" w:hAnsi="Arial" w:cs="Arial"/>
                <w:i/>
                <w:color w:val="404040" w:themeColor="text1" w:themeTint="BF"/>
              </w:rPr>
              <w:t>Systmone</w:t>
            </w:r>
            <w:proofErr w:type="spellEnd"/>
            <w:r>
              <w:rPr>
                <w:rFonts w:ascii="Arial" w:hAnsi="Arial" w:cs="Arial"/>
                <w:i/>
                <w:color w:val="404040" w:themeColor="text1" w:themeTint="BF"/>
              </w:rPr>
              <w:t xml:space="preserve"> Asthma Template</w:t>
            </w:r>
          </w:p>
        </w:tc>
      </w:tr>
      <w:tr w:rsidR="00E60258" w:rsidRPr="00E60258" w:rsidTr="001755CD">
        <w:trPr>
          <w:trHeight w:val="839"/>
        </w:trPr>
        <w:tc>
          <w:tcPr>
            <w:tcW w:w="1696" w:type="dxa"/>
          </w:tcPr>
          <w:p w:rsidR="00E60258" w:rsidRPr="00E60258" w:rsidRDefault="00E60258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</w:rPr>
              <w:t>Organisations involved in project</w:t>
            </w:r>
          </w:p>
        </w:tc>
        <w:tc>
          <w:tcPr>
            <w:tcW w:w="8358" w:type="dxa"/>
          </w:tcPr>
          <w:p w:rsidR="00E60258" w:rsidRPr="00E60258" w:rsidRDefault="00F4630E" w:rsidP="001755CD">
            <w:pPr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Hounslow CCG, Central CCG, H&amp;F CCG, West CCG, Ealing CCG</w:t>
            </w:r>
          </w:p>
        </w:tc>
      </w:tr>
      <w:tr w:rsidR="00E60258" w:rsidRPr="00E60258" w:rsidTr="001755CD">
        <w:tc>
          <w:tcPr>
            <w:tcW w:w="1696" w:type="dxa"/>
          </w:tcPr>
          <w:p w:rsidR="00E60258" w:rsidRPr="00E60258" w:rsidRDefault="00E60258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</w:rPr>
              <w:t>Aims</w:t>
            </w:r>
          </w:p>
        </w:tc>
        <w:tc>
          <w:tcPr>
            <w:tcW w:w="8358" w:type="dxa"/>
          </w:tcPr>
          <w:p w:rsidR="00E60258" w:rsidRPr="00E60258" w:rsidRDefault="00F4630E" w:rsidP="001755CD">
            <w:pPr>
              <w:jc w:val="both"/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To facilitate quality asthma care through close at hand IT tools.</w:t>
            </w:r>
          </w:p>
        </w:tc>
      </w:tr>
      <w:tr w:rsidR="00E60258" w:rsidRPr="00E60258" w:rsidTr="001755CD">
        <w:trPr>
          <w:trHeight w:val="1401"/>
        </w:trPr>
        <w:tc>
          <w:tcPr>
            <w:tcW w:w="1696" w:type="dxa"/>
          </w:tcPr>
          <w:p w:rsidR="00E60258" w:rsidRPr="00E60258" w:rsidRDefault="00E60258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</w:rPr>
              <w:t>Rationale</w:t>
            </w:r>
          </w:p>
        </w:tc>
        <w:tc>
          <w:tcPr>
            <w:tcW w:w="8358" w:type="dxa"/>
          </w:tcPr>
          <w:p w:rsidR="00E60258" w:rsidRPr="00E60258" w:rsidRDefault="00F4630E" w:rsidP="001755CD">
            <w:pPr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Across CWHHE all GPs and community care is on a single IT platform sharing patient records. Clinical tools can be made available to all 253 GP practices without them needing to import anything. A basic asthma template has been available since 2011 within this system but had significant deficiencies. HLP has been a useful catalyst in accelerating and focussing our reshaping and development of this tool.</w:t>
            </w:r>
          </w:p>
        </w:tc>
      </w:tr>
      <w:tr w:rsidR="00E60258" w:rsidRPr="00E60258" w:rsidTr="001755CD">
        <w:tc>
          <w:tcPr>
            <w:tcW w:w="1696" w:type="dxa"/>
          </w:tcPr>
          <w:p w:rsidR="00E60258" w:rsidRPr="00E60258" w:rsidRDefault="00E60258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</w:rPr>
              <w:t>Development</w:t>
            </w:r>
          </w:p>
        </w:tc>
        <w:tc>
          <w:tcPr>
            <w:tcW w:w="8358" w:type="dxa"/>
          </w:tcPr>
          <w:p w:rsidR="00E60258" w:rsidRPr="00E60258" w:rsidRDefault="00F4630E" w:rsidP="00F4630E">
            <w:pPr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 basic data entry template has been enhanced to incorporate better signposting and alignment with HLP asthma ambitions. It includes; being able to merge and print an </w:t>
            </w:r>
            <w:proofErr w:type="spellStart"/>
            <w:r>
              <w:rPr>
                <w:rFonts w:cs="Arial"/>
              </w:rPr>
              <w:t>AsthmaUK</w:t>
            </w:r>
            <w:proofErr w:type="spellEnd"/>
            <w:r>
              <w:rPr>
                <w:rFonts w:cs="Arial"/>
              </w:rPr>
              <w:t xml:space="preserve"> action plan; point of care filtered information on relevant facts such as reliever use over the last year; Inhaler technique check list and video links tailored to the specific inhalers a patient is receiving with one click; An asthma health protocol to query the record for important facts that might be missed in a review (such as whether PEFR, height and weight have been appropriately updated in the last year; Wider relevant coding available (such as child not brought to appointment or responsible health professional); Ability to count / incentivise specific quality asthma review activities (such as inhaler technique, printing plan,…)</w:t>
            </w:r>
          </w:p>
        </w:tc>
      </w:tr>
      <w:tr w:rsidR="00E60258" w:rsidRPr="00E60258" w:rsidTr="001755CD">
        <w:tc>
          <w:tcPr>
            <w:tcW w:w="1696" w:type="dxa"/>
          </w:tcPr>
          <w:p w:rsidR="00E60258" w:rsidRPr="00E60258" w:rsidRDefault="00E60258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</w:rPr>
              <w:t>What did we do?</w:t>
            </w:r>
          </w:p>
        </w:tc>
        <w:tc>
          <w:tcPr>
            <w:tcW w:w="8358" w:type="dxa"/>
          </w:tcPr>
          <w:p w:rsidR="00F4630E" w:rsidRDefault="00F4630E" w:rsidP="00F4630E">
            <w:pPr>
              <w:jc w:val="both"/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 xml:space="preserve">Asked widely in our local area </w:t>
            </w:r>
            <w:proofErr w:type="gramStart"/>
            <w:r>
              <w:rPr>
                <w:rFonts w:ascii="Arial" w:hAnsi="Arial" w:cs="Arial"/>
                <w:i/>
                <w:color w:val="404040" w:themeColor="text1" w:themeTint="BF"/>
              </w:rPr>
              <w:t>who</w:t>
            </w:r>
            <w:proofErr w:type="gramEnd"/>
            <w:r>
              <w:rPr>
                <w:rFonts w:ascii="Arial" w:hAnsi="Arial" w:cs="Arial"/>
                <w:i/>
                <w:color w:val="404040" w:themeColor="text1" w:themeTint="BF"/>
              </w:rPr>
              <w:t xml:space="preserve"> was doing similar work.</w:t>
            </w:r>
          </w:p>
          <w:p w:rsidR="00F4630E" w:rsidRDefault="00F4630E" w:rsidP="00F4630E">
            <w:pPr>
              <w:jc w:val="both"/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Brought these together through meetings and one to one phone calls.</w:t>
            </w:r>
          </w:p>
          <w:p w:rsidR="00F4630E" w:rsidRDefault="00F4630E" w:rsidP="00F4630E">
            <w:pPr>
              <w:jc w:val="both"/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Ensured the scope and timing was correctly aligned for all.</w:t>
            </w:r>
          </w:p>
          <w:p w:rsidR="00F4630E" w:rsidRDefault="00F4630E" w:rsidP="00F4630E">
            <w:pPr>
              <w:jc w:val="both"/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Iteratively restructured the template.</w:t>
            </w:r>
          </w:p>
          <w:p w:rsidR="00F4630E" w:rsidRPr="00F4630E" w:rsidRDefault="00F4630E" w:rsidP="00F4630E">
            <w:pPr>
              <w:jc w:val="both"/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Published this into the live environment.</w:t>
            </w:r>
          </w:p>
        </w:tc>
      </w:tr>
      <w:tr w:rsidR="00E60258" w:rsidRPr="00E60258" w:rsidTr="001755CD">
        <w:tc>
          <w:tcPr>
            <w:tcW w:w="1696" w:type="dxa"/>
          </w:tcPr>
          <w:p w:rsidR="00E60258" w:rsidRDefault="00E60258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</w:rPr>
              <w:t>Challenges</w:t>
            </w:r>
          </w:p>
          <w:p w:rsidR="00F4630E" w:rsidRDefault="00F4630E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</w:p>
          <w:p w:rsidR="00F4630E" w:rsidRDefault="00F4630E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</w:p>
          <w:p w:rsidR="00F4630E" w:rsidRDefault="00F4630E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</w:p>
          <w:p w:rsidR="00F4630E" w:rsidRPr="00E60258" w:rsidRDefault="00F4630E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</w:p>
          <w:p w:rsidR="00F4630E" w:rsidRDefault="00F4630E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</w:p>
          <w:p w:rsidR="00F4630E" w:rsidRDefault="00F4630E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</w:p>
          <w:p w:rsidR="00F4630E" w:rsidRPr="00E60258" w:rsidRDefault="00E60258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</w:rPr>
              <w:t>Top Tips</w:t>
            </w:r>
          </w:p>
        </w:tc>
        <w:tc>
          <w:tcPr>
            <w:tcW w:w="8358" w:type="dxa"/>
          </w:tcPr>
          <w:p w:rsidR="00F4630E" w:rsidRDefault="00F4630E" w:rsidP="00F4630E">
            <w:pPr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lastRenderedPageBreak/>
              <w:t>Getting buy in from everyone planning similar initiatives and incorporating these into the work.</w:t>
            </w:r>
          </w:p>
          <w:p w:rsidR="00F4630E" w:rsidRDefault="00F4630E" w:rsidP="00F4630E">
            <w:pPr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Time and capacity amidst other priorities.</w:t>
            </w:r>
          </w:p>
          <w:p w:rsidR="00F4630E" w:rsidRDefault="00F4630E" w:rsidP="00F4630E">
            <w:pPr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Maintaining a coherent structure for these different elements.</w:t>
            </w:r>
          </w:p>
          <w:p w:rsidR="00F4630E" w:rsidRDefault="00F4630E" w:rsidP="00F4630E">
            <w:pPr>
              <w:rPr>
                <w:rFonts w:ascii="Arial" w:hAnsi="Arial" w:cs="Arial"/>
                <w:i/>
                <w:color w:val="404040" w:themeColor="text1" w:themeTint="BF"/>
              </w:rPr>
            </w:pPr>
          </w:p>
          <w:p w:rsidR="00F4630E" w:rsidRDefault="00F4630E" w:rsidP="00F4630E">
            <w:pPr>
              <w:rPr>
                <w:rFonts w:ascii="Arial" w:hAnsi="Arial" w:cs="Arial"/>
                <w:i/>
                <w:color w:val="404040" w:themeColor="text1" w:themeTint="BF"/>
              </w:rPr>
            </w:pPr>
          </w:p>
          <w:p w:rsidR="00F4630E" w:rsidRDefault="00F4630E" w:rsidP="00F4630E">
            <w:pPr>
              <w:rPr>
                <w:rFonts w:ascii="Arial" w:hAnsi="Arial" w:cs="Arial"/>
                <w:i/>
                <w:color w:val="404040" w:themeColor="text1" w:themeTint="BF"/>
              </w:rPr>
            </w:pPr>
          </w:p>
          <w:p w:rsidR="00F4630E" w:rsidRDefault="00F4630E" w:rsidP="00F4630E">
            <w:pPr>
              <w:rPr>
                <w:rFonts w:ascii="Arial" w:hAnsi="Arial" w:cs="Arial"/>
                <w:i/>
                <w:color w:val="404040" w:themeColor="text1" w:themeTint="BF"/>
              </w:rPr>
            </w:pPr>
          </w:p>
          <w:p w:rsidR="00F4630E" w:rsidRDefault="00F4630E" w:rsidP="00F4630E">
            <w:pPr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 xml:space="preserve">Ensure buy in and the scope and timing is </w:t>
            </w:r>
            <w:proofErr w:type="spellStart"/>
            <w:r>
              <w:rPr>
                <w:rFonts w:ascii="Arial" w:hAnsi="Arial" w:cs="Arial"/>
                <w:i/>
                <w:color w:val="404040" w:themeColor="text1" w:themeTint="BF"/>
              </w:rPr>
              <w:t>aligned.across</w:t>
            </w:r>
            <w:proofErr w:type="spellEnd"/>
            <w:r>
              <w:rPr>
                <w:rFonts w:ascii="Arial" w:hAnsi="Arial" w:cs="Arial"/>
                <w:i/>
                <w:color w:val="404040" w:themeColor="text1" w:themeTint="BF"/>
              </w:rPr>
              <w:t xml:space="preserve"> partners</w:t>
            </w:r>
          </w:p>
          <w:p w:rsidR="00F4630E" w:rsidRDefault="00F4630E" w:rsidP="00F4630E">
            <w:pPr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Define tightly what is achievable (</w:t>
            </w:r>
            <w:proofErr w:type="spellStart"/>
            <w:r>
              <w:rPr>
                <w:rFonts w:ascii="Arial" w:hAnsi="Arial" w:cs="Arial"/>
                <w:i/>
                <w:color w:val="404040" w:themeColor="text1" w:themeTint="BF"/>
              </w:rPr>
              <w:t>eg</w:t>
            </w:r>
            <w:proofErr w:type="spellEnd"/>
            <w:r>
              <w:rPr>
                <w:rFonts w:ascii="Arial" w:hAnsi="Arial" w:cs="Arial"/>
                <w:i/>
                <w:color w:val="404040" w:themeColor="text1" w:themeTint="BF"/>
              </w:rPr>
              <w:t>. we plan to engage our community colleagues in sharing our template structure to aid data consistency and familiarity advantages for clinicians (</w:t>
            </w:r>
            <w:proofErr w:type="spellStart"/>
            <w:r>
              <w:rPr>
                <w:rFonts w:ascii="Arial" w:hAnsi="Arial" w:cs="Arial"/>
                <w:i/>
                <w:color w:val="404040" w:themeColor="text1" w:themeTint="BF"/>
              </w:rPr>
              <w:t>eg</w:t>
            </w:r>
            <w:proofErr w:type="spellEnd"/>
            <w:r>
              <w:rPr>
                <w:rFonts w:ascii="Arial" w:hAnsi="Arial" w:cs="Arial"/>
                <w:i/>
                <w:color w:val="404040" w:themeColor="text1" w:themeTint="BF"/>
              </w:rPr>
              <w:t>. community nurses) who work across settings but kept this out of scope for this initial project)</w:t>
            </w:r>
          </w:p>
          <w:p w:rsidR="00F4630E" w:rsidRPr="00E60258" w:rsidRDefault="00F4630E" w:rsidP="00F4630E">
            <w:pPr>
              <w:rPr>
                <w:rFonts w:ascii="Arial" w:hAnsi="Arial" w:cs="Arial"/>
                <w:i/>
                <w:color w:val="404040" w:themeColor="text1" w:themeTint="BF"/>
              </w:rPr>
            </w:pPr>
          </w:p>
        </w:tc>
      </w:tr>
      <w:tr w:rsidR="00E60258" w:rsidRPr="00E60258" w:rsidTr="001755CD">
        <w:tc>
          <w:tcPr>
            <w:tcW w:w="1696" w:type="dxa"/>
          </w:tcPr>
          <w:p w:rsidR="00E60258" w:rsidRPr="00E60258" w:rsidRDefault="00E60258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</w:rPr>
              <w:lastRenderedPageBreak/>
              <w:t>Outcomes</w:t>
            </w:r>
          </w:p>
        </w:tc>
        <w:tc>
          <w:tcPr>
            <w:tcW w:w="8358" w:type="dxa"/>
          </w:tcPr>
          <w:p w:rsidR="00E60258" w:rsidRPr="00E60258" w:rsidRDefault="00F4630E" w:rsidP="00F4630E">
            <w:pPr>
              <w:contextualSpacing/>
              <w:jc w:val="both"/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Very early as template only just released.</w:t>
            </w:r>
          </w:p>
        </w:tc>
      </w:tr>
      <w:tr w:rsidR="00E60258" w:rsidRPr="00E60258" w:rsidTr="001755CD">
        <w:tc>
          <w:tcPr>
            <w:tcW w:w="1696" w:type="dxa"/>
          </w:tcPr>
          <w:p w:rsidR="00E60258" w:rsidRPr="00E60258" w:rsidRDefault="00E60258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</w:rPr>
              <w:t>Benefits</w:t>
            </w:r>
          </w:p>
        </w:tc>
        <w:tc>
          <w:tcPr>
            <w:tcW w:w="8358" w:type="dxa"/>
          </w:tcPr>
          <w:p w:rsidR="00E60258" w:rsidRDefault="00F4630E" w:rsidP="001755CD">
            <w:pPr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 xml:space="preserve">CCGs medicines management team are planning to use this template to </w:t>
            </w:r>
            <w:proofErr w:type="spellStart"/>
            <w:r>
              <w:rPr>
                <w:rFonts w:ascii="Arial" w:hAnsi="Arial" w:cs="Arial"/>
                <w:i/>
                <w:color w:val="404040" w:themeColor="text1" w:themeTint="BF"/>
              </w:rPr>
              <w:t>incetivise</w:t>
            </w:r>
            <w:proofErr w:type="spellEnd"/>
            <w:r>
              <w:rPr>
                <w:rFonts w:ascii="Arial" w:hAnsi="Arial" w:cs="Arial"/>
                <w:i/>
                <w:color w:val="404040" w:themeColor="text1" w:themeTint="BF"/>
              </w:rPr>
              <w:t xml:space="preserve"> quality asthma review and care.</w:t>
            </w:r>
          </w:p>
          <w:p w:rsidR="00F4630E" w:rsidRPr="00E60258" w:rsidRDefault="00F4630E" w:rsidP="001755CD">
            <w:pPr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Hopefully to wean people off a QOF focused barely adequate asthma review.</w:t>
            </w:r>
          </w:p>
        </w:tc>
      </w:tr>
      <w:tr w:rsidR="00E60258" w:rsidRPr="00E60258" w:rsidTr="001755CD">
        <w:tc>
          <w:tcPr>
            <w:tcW w:w="1696" w:type="dxa"/>
          </w:tcPr>
          <w:p w:rsidR="00E60258" w:rsidRPr="00E60258" w:rsidRDefault="00E60258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</w:rPr>
              <w:t>Sustainability</w:t>
            </w:r>
          </w:p>
        </w:tc>
        <w:tc>
          <w:tcPr>
            <w:tcW w:w="8358" w:type="dxa"/>
          </w:tcPr>
          <w:p w:rsidR="00E60258" w:rsidRPr="00E60258" w:rsidRDefault="00F4630E" w:rsidP="001755CD">
            <w:pPr>
              <w:contextualSpacing/>
              <w:jc w:val="both"/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Once published the template will remain available for use by any clinicians in the CWHHE single system; Future adjustments are simple to make centrally; we are hoping our community colleagues will adopt a similar approach</w:t>
            </w:r>
          </w:p>
        </w:tc>
      </w:tr>
      <w:tr w:rsidR="00E60258" w:rsidRPr="00E60258" w:rsidTr="001755CD">
        <w:tc>
          <w:tcPr>
            <w:tcW w:w="1696" w:type="dxa"/>
          </w:tcPr>
          <w:p w:rsidR="00E60258" w:rsidRPr="00E60258" w:rsidRDefault="00E60258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</w:rPr>
              <w:t>Contact</w:t>
            </w:r>
          </w:p>
        </w:tc>
        <w:tc>
          <w:tcPr>
            <w:tcW w:w="8358" w:type="dxa"/>
          </w:tcPr>
          <w:p w:rsidR="00E60258" w:rsidRPr="00E60258" w:rsidRDefault="00F4630E" w:rsidP="001755CD">
            <w:pPr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Dr Richard Baxter – NHS Hounslow CCG</w:t>
            </w:r>
          </w:p>
        </w:tc>
      </w:tr>
      <w:tr w:rsidR="00E60258" w:rsidRPr="00E60258" w:rsidTr="001755CD">
        <w:tc>
          <w:tcPr>
            <w:tcW w:w="1696" w:type="dxa"/>
          </w:tcPr>
          <w:p w:rsidR="00E60258" w:rsidRPr="00E60258" w:rsidRDefault="00E60258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</w:rPr>
              <w:t>Email</w:t>
            </w:r>
          </w:p>
        </w:tc>
        <w:tc>
          <w:tcPr>
            <w:tcW w:w="8358" w:type="dxa"/>
          </w:tcPr>
          <w:p w:rsidR="00E60258" w:rsidRPr="00E60258" w:rsidRDefault="00F4630E" w:rsidP="001755CD">
            <w:pPr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Richard.Baxter@nhs.net</w:t>
            </w:r>
          </w:p>
        </w:tc>
      </w:tr>
      <w:tr w:rsidR="00E60258" w:rsidRPr="00E60258" w:rsidTr="001755CD">
        <w:tc>
          <w:tcPr>
            <w:tcW w:w="1696" w:type="dxa"/>
          </w:tcPr>
          <w:p w:rsidR="00E60258" w:rsidRPr="00E60258" w:rsidRDefault="00E60258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</w:rPr>
              <w:t>Address</w:t>
            </w:r>
          </w:p>
        </w:tc>
        <w:tc>
          <w:tcPr>
            <w:tcW w:w="8358" w:type="dxa"/>
          </w:tcPr>
          <w:p w:rsidR="00F4630E" w:rsidRPr="00E60258" w:rsidRDefault="00F4630E" w:rsidP="001755CD">
            <w:pPr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The Albany Practice. Brentford Health Centre. Brentford TW80PX</w:t>
            </w:r>
          </w:p>
        </w:tc>
      </w:tr>
      <w:tr w:rsidR="00E60258" w:rsidRPr="00E60258" w:rsidTr="001755CD">
        <w:tc>
          <w:tcPr>
            <w:tcW w:w="1696" w:type="dxa"/>
          </w:tcPr>
          <w:p w:rsidR="00E60258" w:rsidRPr="00E60258" w:rsidRDefault="00E60258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</w:rPr>
              <w:t>Telephone</w:t>
            </w:r>
          </w:p>
        </w:tc>
        <w:tc>
          <w:tcPr>
            <w:tcW w:w="8358" w:type="dxa"/>
          </w:tcPr>
          <w:p w:rsidR="00E60258" w:rsidRPr="00E60258" w:rsidRDefault="00F4630E" w:rsidP="001755CD">
            <w:pPr>
              <w:rPr>
                <w:rFonts w:ascii="Arial" w:hAnsi="Arial" w:cs="Arial"/>
                <w:i/>
                <w:color w:val="404040" w:themeColor="text1" w:themeTint="BF"/>
              </w:rPr>
            </w:pPr>
            <w:r>
              <w:rPr>
                <w:rFonts w:ascii="Arial" w:hAnsi="Arial" w:cs="Arial"/>
                <w:i/>
                <w:color w:val="404040" w:themeColor="text1" w:themeTint="BF"/>
              </w:rPr>
              <w:t>07779148691</w:t>
            </w:r>
          </w:p>
        </w:tc>
      </w:tr>
      <w:tr w:rsidR="00E60258" w:rsidRPr="00E60258" w:rsidTr="001755CD">
        <w:tc>
          <w:tcPr>
            <w:tcW w:w="1696" w:type="dxa"/>
          </w:tcPr>
          <w:p w:rsidR="00E60258" w:rsidRPr="00E60258" w:rsidRDefault="00E60258" w:rsidP="001755CD">
            <w:pPr>
              <w:rPr>
                <w:rFonts w:ascii="Arial" w:hAnsi="Arial" w:cs="Arial"/>
                <w:b/>
                <w:color w:val="404040" w:themeColor="text1" w:themeTint="BF"/>
              </w:rPr>
            </w:pPr>
            <w:r w:rsidRPr="00E60258">
              <w:rPr>
                <w:rFonts w:ascii="Arial" w:hAnsi="Arial" w:cs="Arial"/>
                <w:b/>
                <w:color w:val="404040" w:themeColor="text1" w:themeTint="BF"/>
              </w:rPr>
              <w:t>Other</w:t>
            </w:r>
          </w:p>
        </w:tc>
        <w:tc>
          <w:tcPr>
            <w:tcW w:w="8358" w:type="dxa"/>
          </w:tcPr>
          <w:p w:rsidR="00E60258" w:rsidRPr="00E60258" w:rsidRDefault="00E60258" w:rsidP="001755CD">
            <w:pPr>
              <w:rPr>
                <w:rFonts w:ascii="Arial" w:hAnsi="Arial" w:cs="Arial"/>
                <w:i/>
                <w:color w:val="404040" w:themeColor="text1" w:themeTint="BF"/>
              </w:rPr>
            </w:pPr>
          </w:p>
        </w:tc>
      </w:tr>
    </w:tbl>
    <w:p w:rsidR="00EB39F9" w:rsidRDefault="00EB39F9"/>
    <w:p w:rsidR="00E506FA" w:rsidRDefault="00E506FA"/>
    <w:p w:rsidR="00E506FA" w:rsidRDefault="00E506FA" w:rsidP="00E506FA"/>
    <w:p w:rsidR="00E506FA" w:rsidRDefault="00E506FA" w:rsidP="00E506FA">
      <w:pPr>
        <w:sectPr w:rsidR="00E506F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506FA" w:rsidRDefault="00E506FA" w:rsidP="00E506FA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B5FC655" wp14:editId="7448720F">
            <wp:extent cx="8806025" cy="5998543"/>
            <wp:effectExtent l="0" t="0" r="0" b="2540"/>
            <wp:docPr id="16" name="Picture 16" descr="cid:image001.png@01D19128.7B1F6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9128.7B1F673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09" cy="600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506FA" w:rsidRDefault="00E506FA" w:rsidP="00E506FA">
      <w:r>
        <w:rPr>
          <w:noProof/>
          <w:lang w:eastAsia="en-GB"/>
        </w:rPr>
        <w:lastRenderedPageBreak/>
        <w:drawing>
          <wp:inline distT="0" distB="0" distL="0" distR="0" wp14:anchorId="1A4C98B8" wp14:editId="078B9AA5">
            <wp:extent cx="8743950" cy="5956258"/>
            <wp:effectExtent l="0" t="0" r="0" b="6985"/>
            <wp:docPr id="15" name="Picture 15" descr="cid:image002.png@01D19128.7B1F6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19128.7B1F673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281" cy="595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1B87094" wp14:editId="6BC39FED">
            <wp:extent cx="9032991" cy="6153150"/>
            <wp:effectExtent l="0" t="0" r="0" b="0"/>
            <wp:docPr id="14" name="Picture 14" descr="cid:image003.png@01D19128.7B1F6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19128.7B1F673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609" cy="615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ADB2FD9" wp14:editId="55C76F46">
            <wp:extent cx="8448675" cy="5755120"/>
            <wp:effectExtent l="0" t="0" r="0" b="0"/>
            <wp:docPr id="13" name="Picture 13" descr="cid:image004.png@01D19128.7B1F6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4.png@01D19128.7B1F673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758" cy="575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F04A94B" wp14:editId="50DF8C6B">
            <wp:extent cx="10277475" cy="7000875"/>
            <wp:effectExtent l="0" t="0" r="9525" b="9525"/>
            <wp:docPr id="12" name="Picture 12" descr="cid:image005.png@01D19128.7B1F6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5.png@01D19128.7B1F673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B1ACD79" wp14:editId="3E496450">
            <wp:extent cx="8934450" cy="6086025"/>
            <wp:effectExtent l="0" t="0" r="0" b="0"/>
            <wp:docPr id="11" name="Picture 11" descr="cid:image006.png@01D19128.7B1F6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6.png@01D19128.7B1F673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0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09A243C" wp14:editId="546CDD19">
            <wp:extent cx="9606293" cy="6543675"/>
            <wp:effectExtent l="0" t="0" r="0" b="0"/>
            <wp:docPr id="10" name="Picture 10" descr="cid:image007.png@01D19128.7B1F6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7.png@01D19128.7B1F673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293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F6AF6F9" wp14:editId="7591A810">
            <wp:extent cx="9220200" cy="6304044"/>
            <wp:effectExtent l="0" t="0" r="0" b="1905"/>
            <wp:docPr id="9" name="Picture 9" descr="cid:image008.png@01D19128.7B1F6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8.png@01D19128.7B1F673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30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FE96685" wp14:editId="680EEE21">
            <wp:extent cx="9572625" cy="6520741"/>
            <wp:effectExtent l="0" t="0" r="0" b="0"/>
            <wp:docPr id="8" name="Picture 8" descr="cid:image009.png@01D19128.7B1F6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9.png@01D19128.7B1F6730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52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6FA" w:rsidRDefault="00E506FA">
      <w:r>
        <w:rPr>
          <w:noProof/>
          <w:lang w:eastAsia="en-GB"/>
        </w:rPr>
        <w:lastRenderedPageBreak/>
        <w:drawing>
          <wp:inline distT="0" distB="0" distL="0" distR="0" wp14:anchorId="0EC84FCA" wp14:editId="35A9B53A">
            <wp:extent cx="7191375" cy="66576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72" cy="6657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06FA" w:rsidRDefault="00E506FA">
      <w:r>
        <w:rPr>
          <w:noProof/>
          <w:lang w:eastAsia="en-GB"/>
        </w:rPr>
        <w:lastRenderedPageBreak/>
        <w:drawing>
          <wp:inline distT="0" distB="0" distL="0" distR="0" wp14:anchorId="66695528" wp14:editId="71F4C3A2">
            <wp:extent cx="7016840" cy="6105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336" cy="6107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06FA" w:rsidSect="00E506FA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691" w:rsidRDefault="00555691" w:rsidP="001755CD">
      <w:pPr>
        <w:spacing w:after="0" w:line="240" w:lineRule="auto"/>
      </w:pPr>
      <w:r>
        <w:separator/>
      </w:r>
    </w:p>
  </w:endnote>
  <w:endnote w:type="continuationSeparator" w:id="0">
    <w:p w:rsidR="00555691" w:rsidRDefault="00555691" w:rsidP="00175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691" w:rsidRDefault="00555691" w:rsidP="001755CD">
      <w:pPr>
        <w:spacing w:after="0" w:line="240" w:lineRule="auto"/>
      </w:pPr>
      <w:r>
        <w:separator/>
      </w:r>
    </w:p>
  </w:footnote>
  <w:footnote w:type="continuationSeparator" w:id="0">
    <w:p w:rsidR="00555691" w:rsidRDefault="00555691" w:rsidP="00175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86A"/>
    <w:multiLevelType w:val="hybridMultilevel"/>
    <w:tmpl w:val="FCBE9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05C1C"/>
    <w:multiLevelType w:val="hybridMultilevel"/>
    <w:tmpl w:val="B58677C0"/>
    <w:lvl w:ilvl="0" w:tplc="CF14B09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A2953D7"/>
    <w:multiLevelType w:val="hybridMultilevel"/>
    <w:tmpl w:val="91A00B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31B61"/>
    <w:multiLevelType w:val="hybridMultilevel"/>
    <w:tmpl w:val="10782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3F3403"/>
    <w:multiLevelType w:val="hybridMultilevel"/>
    <w:tmpl w:val="9B044E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52326F"/>
    <w:multiLevelType w:val="hybridMultilevel"/>
    <w:tmpl w:val="B85AC8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661396"/>
    <w:multiLevelType w:val="hybridMultilevel"/>
    <w:tmpl w:val="F6025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694920"/>
    <w:multiLevelType w:val="hybridMultilevel"/>
    <w:tmpl w:val="BDFAC4BE"/>
    <w:lvl w:ilvl="0" w:tplc="9E104A2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CF5C71"/>
    <w:multiLevelType w:val="hybridMultilevel"/>
    <w:tmpl w:val="B23AF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258"/>
    <w:rsid w:val="000C1663"/>
    <w:rsid w:val="001755CD"/>
    <w:rsid w:val="005275F5"/>
    <w:rsid w:val="00555691"/>
    <w:rsid w:val="00672024"/>
    <w:rsid w:val="00E506FA"/>
    <w:rsid w:val="00E60258"/>
    <w:rsid w:val="00EB39F9"/>
    <w:rsid w:val="00F4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rsid w:val="00E60258"/>
    <w:rPr>
      <w:sz w:val="16"/>
      <w:szCs w:val="16"/>
    </w:rPr>
  </w:style>
  <w:style w:type="paragraph" w:styleId="CommentText">
    <w:name w:val="annotation text"/>
    <w:basedOn w:val="Normal"/>
    <w:link w:val="CommentTextChar"/>
    <w:rsid w:val="00E60258"/>
    <w:pPr>
      <w:spacing w:line="240" w:lineRule="auto"/>
    </w:pPr>
    <w:rPr>
      <w:rFonts w:ascii="Arial" w:hAnsi="Arial" w:cs="Arial"/>
      <w:color w:val="404040" w:themeColor="text1" w:themeTint="BF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60258"/>
    <w:rPr>
      <w:rFonts w:ascii="Arial" w:hAnsi="Arial" w:cs="Arial"/>
      <w:color w:val="404040" w:themeColor="text1" w:themeTint="BF"/>
      <w:sz w:val="20"/>
      <w:szCs w:val="20"/>
    </w:rPr>
  </w:style>
  <w:style w:type="table" w:styleId="TableGrid">
    <w:name w:val="Table Grid"/>
    <w:basedOn w:val="TableNormal"/>
    <w:rsid w:val="00E60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2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5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5CD"/>
  </w:style>
  <w:style w:type="paragraph" w:styleId="Footer">
    <w:name w:val="footer"/>
    <w:basedOn w:val="Normal"/>
    <w:link w:val="FooterChar"/>
    <w:uiPriority w:val="99"/>
    <w:unhideWhenUsed/>
    <w:rsid w:val="00175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5CD"/>
  </w:style>
  <w:style w:type="paragraph" w:styleId="ListParagraph">
    <w:name w:val="List Paragraph"/>
    <w:basedOn w:val="Normal"/>
    <w:uiPriority w:val="34"/>
    <w:qFormat/>
    <w:rsid w:val="00F463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rsid w:val="00E60258"/>
    <w:rPr>
      <w:sz w:val="16"/>
      <w:szCs w:val="16"/>
    </w:rPr>
  </w:style>
  <w:style w:type="paragraph" w:styleId="CommentText">
    <w:name w:val="annotation text"/>
    <w:basedOn w:val="Normal"/>
    <w:link w:val="CommentTextChar"/>
    <w:rsid w:val="00E60258"/>
    <w:pPr>
      <w:spacing w:line="240" w:lineRule="auto"/>
    </w:pPr>
    <w:rPr>
      <w:rFonts w:ascii="Arial" w:hAnsi="Arial" w:cs="Arial"/>
      <w:color w:val="404040" w:themeColor="text1" w:themeTint="BF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60258"/>
    <w:rPr>
      <w:rFonts w:ascii="Arial" w:hAnsi="Arial" w:cs="Arial"/>
      <w:color w:val="404040" w:themeColor="text1" w:themeTint="BF"/>
      <w:sz w:val="20"/>
      <w:szCs w:val="20"/>
    </w:rPr>
  </w:style>
  <w:style w:type="table" w:styleId="TableGrid">
    <w:name w:val="Table Grid"/>
    <w:basedOn w:val="TableNormal"/>
    <w:rsid w:val="00E60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2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5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5CD"/>
  </w:style>
  <w:style w:type="paragraph" w:styleId="Footer">
    <w:name w:val="footer"/>
    <w:basedOn w:val="Normal"/>
    <w:link w:val="FooterChar"/>
    <w:uiPriority w:val="99"/>
    <w:unhideWhenUsed/>
    <w:rsid w:val="00175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5CD"/>
  </w:style>
  <w:style w:type="paragraph" w:styleId="ListParagraph">
    <w:name w:val="List Paragraph"/>
    <w:basedOn w:val="Normal"/>
    <w:uiPriority w:val="34"/>
    <w:qFormat/>
    <w:rsid w:val="00F463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4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3.png@01D19128.7B1F6730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cid:image007.png@01D19128.7B1F673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cid:image005.png@01D19128.7B1F6730" TargetMode="External"/><Relationship Id="rId25" Type="http://schemas.openxmlformats.org/officeDocument/2006/relationships/image" Target="cid:image009.png@01D19128.7B1F6730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image002.png@01D19128.7B1F6730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cid:image004.png@01D19128.7B1F6730" TargetMode="External"/><Relationship Id="rId23" Type="http://schemas.openxmlformats.org/officeDocument/2006/relationships/image" Target="cid:image008.png@01D19128.7B1F6730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cid:image006.png@01D19128.7B1F6730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1.png@01D19128.7B1F673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Nelson</dc:creator>
  <cp:lastModifiedBy>Sara Nelson</cp:lastModifiedBy>
  <cp:revision>3</cp:revision>
  <dcterms:created xsi:type="dcterms:W3CDTF">2016-04-08T09:46:00Z</dcterms:created>
  <dcterms:modified xsi:type="dcterms:W3CDTF">2016-04-15T06:19:00Z</dcterms:modified>
</cp:coreProperties>
</file>