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B08E6" w14:textId="77777777" w:rsidR="008D6E0A" w:rsidRDefault="008D6E0A"/>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376"/>
        <w:gridCol w:w="3402"/>
      </w:tblGrid>
      <w:tr w:rsidR="00DB488F" w:rsidRPr="00AC38BF" w14:paraId="3991EE27" w14:textId="77777777" w:rsidTr="00140E46">
        <w:trPr>
          <w:trHeight w:val="227"/>
        </w:trPr>
        <w:tc>
          <w:tcPr>
            <w:tcW w:w="2376" w:type="dxa"/>
            <w:shd w:val="clear" w:color="auto" w:fill="auto"/>
          </w:tcPr>
          <w:p w14:paraId="153BE18C" w14:textId="77777777" w:rsidR="00DB488F" w:rsidRPr="00AC38BF" w:rsidRDefault="00DB488F" w:rsidP="00AC38BF">
            <w:pPr>
              <w:pStyle w:val="Tableprompt"/>
            </w:pPr>
            <w:r w:rsidRPr="00AC38BF">
              <w:t>Date</w:t>
            </w:r>
          </w:p>
        </w:tc>
        <w:sdt>
          <w:sdtPr>
            <w:alias w:val="Enter the date of the meeting"/>
            <w:tag w:val="Enter the date of the meeting"/>
            <w:id w:val="1346893828"/>
            <w:placeholder>
              <w:docPart w:val="96B1D449CF6F41BB8D418F1DF17E51FD"/>
            </w:placeholder>
            <w:date>
              <w:dateFormat w:val="dddd, dd MMMM yyyy"/>
              <w:lid w:val="en-GB"/>
              <w:storeMappedDataAs w:val="dateTime"/>
              <w:calendar w:val="gregorian"/>
            </w:date>
          </w:sdtPr>
          <w:sdtEndPr/>
          <w:sdtContent>
            <w:tc>
              <w:tcPr>
                <w:tcW w:w="3402" w:type="dxa"/>
                <w:shd w:val="clear" w:color="auto" w:fill="auto"/>
              </w:tcPr>
              <w:p w14:paraId="35488137" w14:textId="77777777" w:rsidR="00DB488F" w:rsidRPr="00AC38BF" w:rsidRDefault="00D50E27" w:rsidP="0052724E">
                <w:r>
                  <w:t xml:space="preserve">Tuesday </w:t>
                </w:r>
                <w:r w:rsidR="0052724E">
                  <w:t>24th November</w:t>
                </w:r>
              </w:p>
            </w:tc>
          </w:sdtContent>
        </w:sdt>
      </w:tr>
    </w:tbl>
    <w:p w14:paraId="2E6A1979" w14:textId="77777777" w:rsidR="00DB488F" w:rsidRPr="00AC38BF" w:rsidRDefault="00DB488F" w:rsidP="00AC38BF">
      <w:pPr>
        <w:pStyle w:val="NoSpacing"/>
      </w:pPr>
    </w:p>
    <w:tbl>
      <w:tblPr>
        <w:tblStyle w:val="TableGrid"/>
        <w:tblpPr w:leftFromText="180" w:rightFromText="180" w:vertAnchor="text" w:horzAnchor="margin" w:tblpY="-90"/>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359"/>
        <w:gridCol w:w="6883"/>
      </w:tblGrid>
      <w:tr w:rsidR="00DB488F" w:rsidRPr="00AC38BF" w14:paraId="3F52CC4E" w14:textId="77777777" w:rsidTr="00DB488F">
        <w:trPr>
          <w:trHeight w:val="20"/>
        </w:trPr>
        <w:tc>
          <w:tcPr>
            <w:tcW w:w="1276" w:type="pct"/>
            <w:shd w:val="clear" w:color="auto" w:fill="auto"/>
          </w:tcPr>
          <w:p w14:paraId="375FFF7D" w14:textId="77777777" w:rsidR="00DB488F" w:rsidRPr="00AC38BF" w:rsidRDefault="00DB488F" w:rsidP="00AC38BF">
            <w:pPr>
              <w:pStyle w:val="Tableprompt"/>
            </w:pPr>
            <w:r w:rsidRPr="00AC38BF">
              <w:t>Title of paper</w:t>
            </w:r>
          </w:p>
        </w:tc>
        <w:tc>
          <w:tcPr>
            <w:tcW w:w="3724" w:type="pct"/>
            <w:shd w:val="clear" w:color="auto" w:fill="auto"/>
          </w:tcPr>
          <w:p w14:paraId="78D931A7" w14:textId="77777777" w:rsidR="00DB488F" w:rsidRPr="00AC38BF" w:rsidRDefault="003A6257" w:rsidP="0052724E">
            <w:pPr>
              <w:pStyle w:val="Tableprompt"/>
            </w:pPr>
            <w:sdt>
              <w:sdtPr>
                <w:alias w:val="Title to be the same as it is on the agenda"/>
                <w:tag w:val="Title"/>
                <w:id w:val="-622469361"/>
                <w:placeholder>
                  <w:docPart w:val="DB1412C7E7EB4AD1B8AC2DE39AC5AF64"/>
                </w:placeholder>
              </w:sdtPr>
              <w:sdtEndPr/>
              <w:sdtContent>
                <w:r w:rsidR="0052724E">
                  <w:t>The use of pulse oximetry in primary care for children under two</w:t>
                </w:r>
              </w:sdtContent>
            </w:sdt>
          </w:p>
        </w:tc>
      </w:tr>
    </w:tbl>
    <w:tbl>
      <w:tblPr>
        <w:tblStyle w:val="TableGrid"/>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359"/>
        <w:gridCol w:w="628"/>
        <w:gridCol w:w="451"/>
        <w:gridCol w:w="630"/>
        <w:gridCol w:w="449"/>
        <w:gridCol w:w="4725"/>
      </w:tblGrid>
      <w:tr w:rsidR="00DB488F" w:rsidRPr="00AC38BF" w14:paraId="6C8FC641" w14:textId="77777777" w:rsidTr="00DB488F">
        <w:trPr>
          <w:trHeight w:val="170"/>
        </w:trPr>
        <w:tc>
          <w:tcPr>
            <w:tcW w:w="1276" w:type="pct"/>
            <w:shd w:val="clear" w:color="auto" w:fill="auto"/>
            <w:vAlign w:val="center"/>
          </w:tcPr>
          <w:p w14:paraId="667490E5" w14:textId="77777777" w:rsidR="00DB488F" w:rsidRPr="00AC38BF" w:rsidRDefault="00DB488F" w:rsidP="00AC38BF">
            <w:pPr>
              <w:pStyle w:val="Tableprompt"/>
            </w:pPr>
            <w:r w:rsidRPr="00AC38BF">
              <w:t xml:space="preserve">Presenter </w:t>
            </w:r>
          </w:p>
        </w:tc>
        <w:tc>
          <w:tcPr>
            <w:tcW w:w="3724" w:type="pct"/>
            <w:gridSpan w:val="5"/>
            <w:shd w:val="clear" w:color="auto" w:fill="auto"/>
          </w:tcPr>
          <w:p w14:paraId="20E782C0" w14:textId="77777777" w:rsidR="00DB488F" w:rsidRPr="00AC38BF" w:rsidRDefault="0052724E" w:rsidP="00D50E27">
            <w:r>
              <w:t>Claire Smith, Natasha Stephenson, Mandy Baum</w:t>
            </w:r>
          </w:p>
        </w:tc>
      </w:tr>
      <w:tr w:rsidR="00DB488F" w:rsidRPr="00AC38BF" w14:paraId="6F869F3C" w14:textId="77777777" w:rsidTr="00DB488F">
        <w:trPr>
          <w:trHeight w:val="170"/>
        </w:trPr>
        <w:tc>
          <w:tcPr>
            <w:tcW w:w="1276" w:type="pct"/>
            <w:shd w:val="clear" w:color="auto" w:fill="auto"/>
            <w:vAlign w:val="center"/>
          </w:tcPr>
          <w:p w14:paraId="62B5A8E4" w14:textId="77777777" w:rsidR="00DB488F" w:rsidRPr="00AC38BF" w:rsidRDefault="00DB488F" w:rsidP="00AC38BF">
            <w:pPr>
              <w:pStyle w:val="Tableprompt"/>
            </w:pPr>
            <w:r w:rsidRPr="00AC38BF">
              <w:t>Author</w:t>
            </w:r>
          </w:p>
        </w:tc>
        <w:tc>
          <w:tcPr>
            <w:tcW w:w="3724" w:type="pct"/>
            <w:gridSpan w:val="5"/>
            <w:shd w:val="clear" w:color="auto" w:fill="auto"/>
          </w:tcPr>
          <w:p w14:paraId="6E1D27A4" w14:textId="16A1D181" w:rsidR="00FD33B2" w:rsidRPr="0052724E" w:rsidRDefault="001951FC" w:rsidP="001951FC">
            <w:r>
              <w:t xml:space="preserve">Claire Smith/ Nicole </w:t>
            </w:r>
            <w:proofErr w:type="spellStart"/>
            <w:r>
              <w:t>Benghiat</w:t>
            </w:r>
            <w:proofErr w:type="spellEnd"/>
            <w:r w:rsidR="00FD33B2" w:rsidRPr="0052724E">
              <w:t xml:space="preserve"> </w:t>
            </w:r>
            <w:r>
              <w:t>– Children’s Joint Commissioning Team, Natasha Stephenson – SHO, Imperial College Healthcare Trust, Mandy Baum – Hounslow CCG Clinical Lead</w:t>
            </w:r>
          </w:p>
        </w:tc>
      </w:tr>
      <w:tr w:rsidR="00DB488F" w:rsidRPr="00AC38BF" w14:paraId="57C303CB" w14:textId="77777777" w:rsidTr="00DB488F">
        <w:trPr>
          <w:trHeight w:val="113"/>
        </w:trPr>
        <w:tc>
          <w:tcPr>
            <w:tcW w:w="1276" w:type="pct"/>
            <w:shd w:val="clear" w:color="auto" w:fill="auto"/>
            <w:vAlign w:val="center"/>
          </w:tcPr>
          <w:p w14:paraId="1A97A6ED" w14:textId="77777777" w:rsidR="00DB488F" w:rsidRPr="00AC38BF" w:rsidRDefault="00DB488F" w:rsidP="00AC38BF">
            <w:pPr>
              <w:pStyle w:val="Tableprompt"/>
            </w:pPr>
            <w:r w:rsidRPr="00AC38BF">
              <w:t xml:space="preserve">Responsible Director </w:t>
            </w:r>
          </w:p>
        </w:tc>
        <w:tc>
          <w:tcPr>
            <w:tcW w:w="3724" w:type="pct"/>
            <w:gridSpan w:val="5"/>
            <w:shd w:val="clear" w:color="auto" w:fill="auto"/>
          </w:tcPr>
          <w:p w14:paraId="46EB9BC1" w14:textId="77777777" w:rsidR="00DB488F" w:rsidRPr="00AC38BF" w:rsidRDefault="0052724E" w:rsidP="00FD33B2">
            <w:r>
              <w:t>Martin Waddington</w:t>
            </w:r>
          </w:p>
        </w:tc>
      </w:tr>
      <w:tr w:rsidR="00DB488F" w:rsidRPr="00AC38BF" w14:paraId="373385EF" w14:textId="77777777" w:rsidTr="00DB488F">
        <w:trPr>
          <w:trHeight w:val="227"/>
        </w:trPr>
        <w:tc>
          <w:tcPr>
            <w:tcW w:w="1276" w:type="pct"/>
            <w:shd w:val="clear" w:color="auto" w:fill="auto"/>
            <w:vAlign w:val="center"/>
          </w:tcPr>
          <w:p w14:paraId="6F7563ED" w14:textId="77777777" w:rsidR="00DB488F" w:rsidRPr="00AC38BF" w:rsidRDefault="00DB488F" w:rsidP="00AC38BF">
            <w:pPr>
              <w:pStyle w:val="Tableprompt"/>
            </w:pPr>
            <w:r w:rsidRPr="00AC38BF">
              <w:t>Clinical Lead</w:t>
            </w:r>
          </w:p>
        </w:tc>
        <w:tc>
          <w:tcPr>
            <w:tcW w:w="3724" w:type="pct"/>
            <w:gridSpan w:val="5"/>
            <w:shd w:val="clear" w:color="auto" w:fill="auto"/>
          </w:tcPr>
          <w:p w14:paraId="05876B7E" w14:textId="77777777" w:rsidR="00DB488F" w:rsidRPr="00AC38BF" w:rsidRDefault="00FD33B2" w:rsidP="00AC38BF">
            <w:r>
              <w:t>Nicola Burbidge</w:t>
            </w:r>
          </w:p>
        </w:tc>
      </w:tr>
      <w:tr w:rsidR="00DB488F" w:rsidRPr="00AC38BF" w14:paraId="42C24A66" w14:textId="77777777" w:rsidTr="00DB488F">
        <w:trPr>
          <w:trHeight w:val="227"/>
        </w:trPr>
        <w:tc>
          <w:tcPr>
            <w:tcW w:w="1276" w:type="pct"/>
            <w:shd w:val="clear" w:color="auto" w:fill="auto"/>
            <w:vAlign w:val="center"/>
          </w:tcPr>
          <w:p w14:paraId="4EA5EE66" w14:textId="77777777" w:rsidR="00DB488F" w:rsidRPr="00AC38BF" w:rsidRDefault="00DB488F" w:rsidP="00AC38BF">
            <w:pPr>
              <w:pStyle w:val="Tableprompt"/>
            </w:pPr>
            <w:r w:rsidRPr="00AC38BF">
              <w:t>Confidential</w:t>
            </w:r>
          </w:p>
        </w:tc>
        <w:tc>
          <w:tcPr>
            <w:tcW w:w="340" w:type="pct"/>
            <w:shd w:val="clear" w:color="auto" w:fill="auto"/>
            <w:vAlign w:val="center"/>
          </w:tcPr>
          <w:p w14:paraId="4EB7B152" w14:textId="77777777" w:rsidR="00DB488F" w:rsidRPr="00AC38BF" w:rsidRDefault="00DB488F" w:rsidP="00AC38BF">
            <w:pPr>
              <w:pStyle w:val="Tableprompt"/>
            </w:pPr>
            <w:r w:rsidRPr="00AC38BF">
              <w:t>Yes</w:t>
            </w:r>
          </w:p>
        </w:tc>
        <w:sdt>
          <w:sdtPr>
            <w:rPr>
              <w:rStyle w:val="YESChar"/>
            </w:rPr>
            <w:alias w:val="Check if 'Yes' this paper is confidential"/>
            <w:tag w:val="Yes"/>
            <w:id w:val="-745960433"/>
            <w14:checkbox>
              <w14:checked w14:val="0"/>
              <w14:checkedState w14:val="00FE" w14:font="Wingdings"/>
              <w14:uncheckedState w14:val="2610" w14:font="MS Gothic"/>
            </w14:checkbox>
          </w:sdtPr>
          <w:sdtEndPr>
            <w:rPr>
              <w:rStyle w:val="YESChar"/>
            </w:rPr>
          </w:sdtEndPr>
          <w:sdtContent>
            <w:tc>
              <w:tcPr>
                <w:tcW w:w="244" w:type="pct"/>
                <w:shd w:val="clear" w:color="auto" w:fill="auto"/>
                <w:vAlign w:val="center"/>
              </w:tcPr>
              <w:p w14:paraId="781A70B3" w14:textId="77777777" w:rsidR="00DB488F" w:rsidRPr="00AC38BF" w:rsidRDefault="00A976AB" w:rsidP="00AC38BF">
                <w:r w:rsidRPr="00AC38BF">
                  <w:rPr>
                    <w:rStyle w:val="YESChar"/>
                    <w:rFonts w:ascii="MS Gothic" w:eastAsia="MS Gothic" w:hAnsi="MS Gothic" w:cs="MS Gothic" w:hint="eastAsia"/>
                  </w:rPr>
                  <w:t>☐</w:t>
                </w:r>
              </w:p>
            </w:tc>
          </w:sdtContent>
        </w:sdt>
        <w:tc>
          <w:tcPr>
            <w:tcW w:w="341" w:type="pct"/>
            <w:shd w:val="clear" w:color="auto" w:fill="auto"/>
            <w:vAlign w:val="center"/>
          </w:tcPr>
          <w:p w14:paraId="29628208" w14:textId="77777777" w:rsidR="00DB488F" w:rsidRPr="00AC38BF" w:rsidRDefault="00DB488F" w:rsidP="00AC38BF">
            <w:pPr>
              <w:pStyle w:val="Tableprompt"/>
            </w:pPr>
            <w:r w:rsidRPr="00AC38BF">
              <w:t>No</w:t>
            </w:r>
          </w:p>
        </w:tc>
        <w:sdt>
          <w:sdtPr>
            <w:rPr>
              <w:rStyle w:val="NoChar"/>
            </w:rPr>
            <w:alias w:val="Check if 'No' this paper is not confidential"/>
            <w:tag w:val="No"/>
            <w:id w:val="-352569626"/>
            <w14:checkbox>
              <w14:checked w14:val="1"/>
              <w14:checkedState w14:val="00FE" w14:font="Wingdings"/>
              <w14:uncheckedState w14:val="2610" w14:font="MS Gothic"/>
            </w14:checkbox>
          </w:sdtPr>
          <w:sdtEndPr>
            <w:rPr>
              <w:rStyle w:val="NoChar"/>
            </w:rPr>
          </w:sdtEndPr>
          <w:sdtContent>
            <w:tc>
              <w:tcPr>
                <w:tcW w:w="243" w:type="pct"/>
                <w:shd w:val="clear" w:color="auto" w:fill="auto"/>
                <w:vAlign w:val="center"/>
              </w:tcPr>
              <w:p w14:paraId="43234240" w14:textId="77777777" w:rsidR="00DB488F" w:rsidRPr="00AC38BF" w:rsidRDefault="00D50E27" w:rsidP="00AC38BF">
                <w:r>
                  <w:rPr>
                    <w:rStyle w:val="NoChar"/>
                  </w:rPr>
                  <w:sym w:font="Wingdings" w:char="F0FE"/>
                </w:r>
              </w:p>
            </w:tc>
          </w:sdtContent>
        </w:sdt>
        <w:tc>
          <w:tcPr>
            <w:tcW w:w="2556" w:type="pct"/>
            <w:shd w:val="clear" w:color="auto" w:fill="auto"/>
          </w:tcPr>
          <w:p w14:paraId="3AB166D2" w14:textId="77777777" w:rsidR="00DB488F" w:rsidRPr="00AC38BF" w:rsidRDefault="00DB488F" w:rsidP="00AC38BF">
            <w:r w:rsidRPr="00AC38BF">
              <w:t>Items are only confidential if it is in the public interest for them to be so</w:t>
            </w:r>
          </w:p>
        </w:tc>
      </w:tr>
    </w:tbl>
    <w:p w14:paraId="32AD092A" w14:textId="77777777" w:rsidR="00DB488F" w:rsidRPr="00AC38BF" w:rsidRDefault="00DB488F" w:rsidP="00AC38BF">
      <w:pPr>
        <w:pStyle w:val="NoSpacing"/>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42"/>
      </w:tblGrid>
      <w:tr w:rsidR="00DB488F" w:rsidRPr="00AC38BF" w14:paraId="09D30972" w14:textId="77777777" w:rsidTr="00140E46">
        <w:trPr>
          <w:trHeight w:val="57"/>
        </w:trPr>
        <w:tc>
          <w:tcPr>
            <w:tcW w:w="10682" w:type="dxa"/>
            <w:shd w:val="clear" w:color="auto" w:fill="auto"/>
          </w:tcPr>
          <w:p w14:paraId="33456F7E" w14:textId="77777777" w:rsidR="00DB488F" w:rsidRPr="00AC38BF" w:rsidRDefault="00DB488F" w:rsidP="00AC38BF">
            <w:pPr>
              <w:pStyle w:val="Tableprompt"/>
            </w:pPr>
            <w:r w:rsidRPr="00AC38BF">
              <w:t xml:space="preserve">The </w:t>
            </w:r>
            <w:sdt>
              <w:sdtPr>
                <w:alias w:val="GB or Committee or Group"/>
                <w:tag w:val="GB or Committee or Group"/>
                <w:id w:val="-466047493"/>
                <w:dropDownList>
                  <w:listItem w:value="Choose an item."/>
                  <w:listItem w:displayText="Board" w:value="Board"/>
                  <w:listItem w:displayText="Governing Body" w:value="Governing Body"/>
                  <w:listItem w:displayText="Committee" w:value="Committee"/>
                  <w:listItem w:displayText="Subcommittee" w:value="Subcommittee"/>
                  <w:listItem w:displayText="Group" w:value="Group"/>
                </w:dropDownList>
              </w:sdtPr>
              <w:sdtEndPr/>
              <w:sdtContent>
                <w:r w:rsidR="00DF247D">
                  <w:t>Governing Body</w:t>
                </w:r>
              </w:sdtContent>
            </w:sdt>
            <w:r w:rsidRPr="00AC38BF">
              <w:t xml:space="preserve"> </w:t>
            </w:r>
            <w:r w:rsidR="00600830" w:rsidRPr="00AC38BF">
              <w:t>is asked to:</w:t>
            </w:r>
          </w:p>
        </w:tc>
      </w:tr>
      <w:tr w:rsidR="00DB488F" w:rsidRPr="00AC38BF" w14:paraId="3EC9A721" w14:textId="77777777" w:rsidTr="00140E46">
        <w:trPr>
          <w:trHeight w:val="20"/>
        </w:trPr>
        <w:tc>
          <w:tcPr>
            <w:tcW w:w="10682" w:type="dxa"/>
            <w:shd w:val="clear" w:color="auto" w:fill="auto"/>
          </w:tcPr>
          <w:p w14:paraId="001E17A2" w14:textId="77777777" w:rsidR="0052724E" w:rsidRDefault="0052724E" w:rsidP="0052724E">
            <w:pPr>
              <w:pStyle w:val="ListParagraph"/>
              <w:numPr>
                <w:ilvl w:val="0"/>
                <w:numId w:val="14"/>
              </w:numPr>
              <w:tabs>
                <w:tab w:val="center" w:pos="4400"/>
              </w:tabs>
              <w:spacing w:before="240" w:after="0"/>
            </w:pPr>
            <w:r>
              <w:t>Note the case for using paediatric finger pulse oximeters in Hounslow GP practices</w:t>
            </w:r>
          </w:p>
          <w:p w14:paraId="1D7D64B1" w14:textId="77777777" w:rsidR="0052724E" w:rsidRDefault="0052724E" w:rsidP="0052724E">
            <w:pPr>
              <w:pStyle w:val="ListParagraph"/>
              <w:numPr>
                <w:ilvl w:val="0"/>
                <w:numId w:val="14"/>
              </w:numPr>
              <w:spacing w:after="0"/>
            </w:pPr>
            <w:r>
              <w:t xml:space="preserve">Endorse and approve the recommendation to supply all Hounslow GP practices with finger pulse oximeters for children under the age of 2. </w:t>
            </w:r>
          </w:p>
          <w:p w14:paraId="214A69CD" w14:textId="69940584" w:rsidR="00403EAF" w:rsidRPr="00AC38BF" w:rsidRDefault="0052724E" w:rsidP="0020168F">
            <w:pPr>
              <w:pStyle w:val="ListParagraph"/>
              <w:numPr>
                <w:ilvl w:val="0"/>
                <w:numId w:val="14"/>
              </w:numPr>
              <w:spacing w:after="0"/>
            </w:pPr>
            <w:r>
              <w:t>Agree the ongoing source of funding for additional sensors as required by GP practices</w:t>
            </w:r>
            <w:r w:rsidR="008D6E0A">
              <w:br/>
            </w:r>
          </w:p>
        </w:tc>
      </w:tr>
    </w:tbl>
    <w:p w14:paraId="591D65AB" w14:textId="77777777" w:rsidR="00DB488F" w:rsidRPr="00AC38BF" w:rsidRDefault="00DB488F" w:rsidP="00AC38BF">
      <w:pPr>
        <w:pStyle w:val="NoSpacing"/>
      </w:pP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9209"/>
      </w:tblGrid>
      <w:tr w:rsidR="00DB488F" w:rsidRPr="00AC38BF" w14:paraId="35E0A45E" w14:textId="77777777" w:rsidTr="00B378A4">
        <w:trPr>
          <w:trHeight w:val="170"/>
        </w:trPr>
        <w:tc>
          <w:tcPr>
            <w:tcW w:w="9209" w:type="dxa"/>
            <w:shd w:val="clear" w:color="auto" w:fill="auto"/>
          </w:tcPr>
          <w:p w14:paraId="57D2324D" w14:textId="77777777" w:rsidR="00DB488F" w:rsidRPr="00AC38BF" w:rsidRDefault="00DB488F" w:rsidP="00AC38BF">
            <w:pPr>
              <w:pStyle w:val="Tableprompt"/>
            </w:pPr>
            <w:r w:rsidRPr="00AC38BF">
              <w:t>Summary of purpose and scope of report</w:t>
            </w:r>
          </w:p>
        </w:tc>
      </w:tr>
      <w:tr w:rsidR="00DB488F" w:rsidRPr="00AC38BF" w14:paraId="7720D0E4" w14:textId="77777777" w:rsidTr="00B378A4">
        <w:trPr>
          <w:trHeight w:val="283"/>
        </w:trPr>
        <w:tc>
          <w:tcPr>
            <w:tcW w:w="9209" w:type="dxa"/>
            <w:shd w:val="clear" w:color="auto" w:fill="auto"/>
          </w:tcPr>
          <w:p w14:paraId="060E6F50" w14:textId="6F4FF5C2" w:rsidR="0052724E" w:rsidRPr="001D2642" w:rsidRDefault="008D6E0A" w:rsidP="0052724E">
            <w:pPr>
              <w:spacing w:after="0"/>
              <w:rPr>
                <w:color w:val="000000"/>
                <w:u w:val="single"/>
              </w:rPr>
            </w:pPr>
            <w:r>
              <w:rPr>
                <w:color w:val="000000"/>
                <w:u w:val="single"/>
              </w:rPr>
              <w:br/>
            </w:r>
            <w:r w:rsidR="0052724E" w:rsidRPr="001D2642">
              <w:rPr>
                <w:color w:val="000000"/>
                <w:u w:val="single"/>
              </w:rPr>
              <w:t>Background</w:t>
            </w:r>
          </w:p>
          <w:p w14:paraId="72D0F646" w14:textId="77777777" w:rsidR="0052724E" w:rsidRDefault="0052724E" w:rsidP="0052724E">
            <w:pPr>
              <w:spacing w:after="0"/>
              <w:rPr>
                <w:color w:val="000000"/>
              </w:rPr>
            </w:pPr>
          </w:p>
          <w:p w14:paraId="5584CDB2" w14:textId="77777777" w:rsidR="0052724E" w:rsidRDefault="0052724E" w:rsidP="0052724E">
            <w:pPr>
              <w:spacing w:after="0"/>
              <w:rPr>
                <w:rFonts w:cs="Lucida Sans Unicode"/>
                <w:lang w:val="en"/>
              </w:rPr>
            </w:pPr>
            <w:r>
              <w:rPr>
                <w:color w:val="000000"/>
              </w:rPr>
              <w:t xml:space="preserve">Finger pulse oximetry allows for simple, non-invasive and quick estimation of arterial oxygen saturation (SpO2) and pulse rate. </w:t>
            </w:r>
            <w:r>
              <w:rPr>
                <w:rFonts w:cs="Lucida Sans Unicode"/>
                <w:lang w:val="en"/>
              </w:rPr>
              <w:t xml:space="preserve">It is recommended by the British Thoracic Society (BTS) and Scottish Intercollegiate Guidelines Network (SIGN) </w:t>
            </w:r>
            <w:r w:rsidRPr="00D2521B">
              <w:rPr>
                <w:rFonts w:cs="Lucida Sans Unicode"/>
                <w:lang w:val="en"/>
              </w:rPr>
              <w:t>that accurate measurement of oxygen saturation is essential in all children with acute wheezing, and that pulse oximetry should be readily available in both primary and secondary care settings</w:t>
            </w:r>
            <w:r>
              <w:rPr>
                <w:rFonts w:cs="Lucida Sans Unicode"/>
                <w:lang w:val="en"/>
              </w:rPr>
              <w:t>.</w:t>
            </w:r>
            <w:r>
              <w:rPr>
                <w:rFonts w:cs="Lucida Sans Unicode"/>
                <w:vertAlign w:val="superscript"/>
                <w:lang w:val="en"/>
              </w:rPr>
              <w:t>1</w:t>
            </w:r>
          </w:p>
          <w:p w14:paraId="62D3FFA7" w14:textId="77777777" w:rsidR="0052724E" w:rsidRDefault="0052724E" w:rsidP="0052724E">
            <w:pPr>
              <w:spacing w:after="0"/>
              <w:rPr>
                <w:rFonts w:cs="Lucida Sans Unicode"/>
                <w:lang w:val="en"/>
              </w:rPr>
            </w:pPr>
          </w:p>
          <w:p w14:paraId="7A038946" w14:textId="77777777" w:rsidR="0052724E" w:rsidRPr="009B63AE" w:rsidRDefault="0052724E" w:rsidP="0052724E">
            <w:pPr>
              <w:spacing w:after="0"/>
              <w:rPr>
                <w:color w:val="000000"/>
              </w:rPr>
            </w:pPr>
            <w:r>
              <w:rPr>
                <w:color w:val="000000"/>
              </w:rPr>
              <w:t xml:space="preserve">Due to their simplicity of use and ability to provide continuous and immediate oxygen saturation values, pulse oximeters are routinely used in emergency medicine, however they are less used in the community when assessing whether children require assessment in secondary care.  </w:t>
            </w:r>
          </w:p>
          <w:p w14:paraId="74B639F0" w14:textId="77777777" w:rsidR="0052724E" w:rsidRDefault="0052724E" w:rsidP="0052724E">
            <w:pPr>
              <w:spacing w:after="0"/>
              <w:rPr>
                <w:rFonts w:cs="Lucida Sans Unicode"/>
                <w:lang w:val="en"/>
              </w:rPr>
            </w:pPr>
          </w:p>
          <w:p w14:paraId="0DD9A19B" w14:textId="77777777" w:rsidR="0052724E" w:rsidRPr="0094000D" w:rsidRDefault="0052724E" w:rsidP="0052724E">
            <w:pPr>
              <w:spacing w:after="0"/>
              <w:rPr>
                <w:rFonts w:cs="Lucida Sans Unicode"/>
                <w:lang w:val="en"/>
              </w:rPr>
            </w:pPr>
            <w:r>
              <w:lastRenderedPageBreak/>
              <w:t>‘Normal’ SpO2 values have not been specifically defined, but are known to vary with age and with altitude.</w:t>
            </w:r>
            <w:r>
              <w:rPr>
                <w:vertAlign w:val="superscript"/>
              </w:rPr>
              <w:t xml:space="preserve">2 </w:t>
            </w:r>
            <w:r>
              <w:t xml:space="preserve">Mean SpO2 in infants and children at sea level has been reported as 97 – 99%, although this may be slightly lower in neonates and young infants (93-100%). </w:t>
            </w:r>
            <w:r w:rsidRPr="00D2521B">
              <w:rPr>
                <w:rFonts w:cs="Lucida Sans Unicode"/>
                <w:lang w:val="en"/>
              </w:rPr>
              <w:t xml:space="preserve">Current recommendations are that children with acute wheeze and saturations &lt;94% require immediate high flow oxygen therapy with target SpO2 of 94-98%. </w:t>
            </w:r>
            <w:r>
              <w:rPr>
                <w:rFonts w:cs="Lucida Sans Unicode"/>
                <w:lang w:val="en"/>
              </w:rPr>
              <w:t>In addition</w:t>
            </w:r>
            <w:r w:rsidRPr="00D2521B">
              <w:rPr>
                <w:rFonts w:cs="Lucida Sans Unicode"/>
                <w:lang w:val="en"/>
              </w:rPr>
              <w:t>, low oxygen saturations after initial bronchodilator therapy predicts a subgroup of children with severe asthma.  One study found that children with SpO2 ≤91% after initial bronchodilator therapy predicted a 16-fold increa</w:t>
            </w:r>
            <w:r>
              <w:rPr>
                <w:rFonts w:cs="Lucida Sans Unicode"/>
                <w:lang w:val="en"/>
              </w:rPr>
              <w:t>sed need for hospital admission.</w:t>
            </w:r>
            <w:r>
              <w:rPr>
                <w:rFonts w:cs="Lucida Sans Unicode"/>
                <w:vertAlign w:val="superscript"/>
                <w:lang w:val="en"/>
              </w:rPr>
              <w:t>3</w:t>
            </w:r>
            <w:r>
              <w:rPr>
                <w:rFonts w:cs="Lucida Sans Unicode"/>
                <w:lang w:val="en"/>
              </w:rPr>
              <w:t xml:space="preserve"> </w:t>
            </w:r>
            <w:r>
              <w:t>Central cyanosis is difficult to detect in infants and young children, and therefore prompt pulse oximetry is recommended for reliable assessment of hypoxaemia in this age group.</w:t>
            </w:r>
          </w:p>
          <w:p w14:paraId="71195CB2" w14:textId="77777777" w:rsidR="0052724E" w:rsidRDefault="0052724E" w:rsidP="0052724E">
            <w:pPr>
              <w:spacing w:after="0"/>
              <w:rPr>
                <w:color w:val="000000"/>
              </w:rPr>
            </w:pPr>
          </w:p>
          <w:p w14:paraId="75060B00" w14:textId="77777777" w:rsidR="0052724E" w:rsidRPr="00D40A58" w:rsidRDefault="0052724E" w:rsidP="0052724E">
            <w:pPr>
              <w:spacing w:after="0"/>
              <w:rPr>
                <w:rFonts w:cs="Lucida Sans Unicode"/>
                <w:lang w:val="en"/>
              </w:rPr>
            </w:pPr>
            <w:r>
              <w:rPr>
                <w:rFonts w:cs="Lucida Sans Unicode"/>
                <w:lang w:val="en"/>
              </w:rPr>
              <w:t>The following recommendations will be made in this paper:</w:t>
            </w:r>
          </w:p>
          <w:p w14:paraId="03E10666" w14:textId="77777777" w:rsidR="0052724E" w:rsidRPr="00543290" w:rsidRDefault="0052724E" w:rsidP="0052724E">
            <w:pPr>
              <w:spacing w:after="0"/>
              <w:rPr>
                <w:color w:val="000000"/>
                <w:u w:val="single"/>
              </w:rPr>
            </w:pPr>
          </w:p>
          <w:p w14:paraId="6ABF3338" w14:textId="77777777" w:rsidR="0052724E" w:rsidRPr="008C681A" w:rsidRDefault="0052724E" w:rsidP="0052724E">
            <w:pPr>
              <w:pStyle w:val="ListParagraph"/>
              <w:numPr>
                <w:ilvl w:val="0"/>
                <w:numId w:val="15"/>
              </w:numPr>
              <w:rPr>
                <w:rFonts w:cs="Lucida Sans Unicode"/>
                <w:lang w:val="en"/>
              </w:rPr>
            </w:pPr>
            <w:r>
              <w:rPr>
                <w:rFonts w:cs="Lucida Sans Unicode"/>
                <w:lang w:val="en"/>
              </w:rPr>
              <w:t xml:space="preserve">GPs should have </w:t>
            </w:r>
            <w:r w:rsidRPr="008C681A">
              <w:rPr>
                <w:rFonts w:cs="Lucida Sans Unicode"/>
                <w:lang w:val="en"/>
              </w:rPr>
              <w:t>access to accurate pulse oximetry equipment, which give reliable readings and can be used on any age group</w:t>
            </w:r>
            <w:r>
              <w:rPr>
                <w:rFonts w:cs="Lucida Sans Unicode"/>
                <w:lang w:val="en"/>
              </w:rPr>
              <w:t xml:space="preserve">, based on </w:t>
            </w:r>
            <w:r w:rsidRPr="008C681A">
              <w:rPr>
                <w:rFonts w:cs="Lucida Sans Unicode"/>
                <w:lang w:val="en"/>
              </w:rPr>
              <w:t xml:space="preserve">evidence and guidelines </w:t>
            </w:r>
            <w:r>
              <w:rPr>
                <w:rFonts w:cs="Lucida Sans Unicode"/>
                <w:lang w:val="en"/>
              </w:rPr>
              <w:t xml:space="preserve">from the CQC, NICE and BTS, which </w:t>
            </w:r>
            <w:r w:rsidRPr="008C681A">
              <w:rPr>
                <w:rFonts w:cs="Lucida Sans Unicode"/>
                <w:lang w:val="en"/>
              </w:rPr>
              <w:t>recommend the use of SpO2 as an adjunct to other clinical signs in the assessment and management of acutely unwell children.</w:t>
            </w:r>
          </w:p>
          <w:p w14:paraId="441CE614" w14:textId="77777777" w:rsidR="0052724E" w:rsidRDefault="0052724E" w:rsidP="0052724E">
            <w:pPr>
              <w:pStyle w:val="ListParagraph"/>
              <w:numPr>
                <w:ilvl w:val="0"/>
                <w:numId w:val="15"/>
              </w:numPr>
              <w:spacing w:after="200"/>
            </w:pPr>
            <w:r>
              <w:t>GPs should, if possible, measure oxygen saturations in children presenting with:</w:t>
            </w:r>
          </w:p>
          <w:p w14:paraId="23B354F9" w14:textId="77777777" w:rsidR="0052724E" w:rsidRDefault="0052724E" w:rsidP="0052724E">
            <w:pPr>
              <w:pStyle w:val="ListParagraph"/>
              <w:numPr>
                <w:ilvl w:val="1"/>
                <w:numId w:val="15"/>
              </w:numPr>
              <w:spacing w:after="200"/>
            </w:pPr>
            <w:r>
              <w:t>Acute asthma/wheeze</w:t>
            </w:r>
          </w:p>
          <w:p w14:paraId="31CFA7C7" w14:textId="77777777" w:rsidR="0052724E" w:rsidRDefault="0052724E" w:rsidP="0052724E">
            <w:pPr>
              <w:pStyle w:val="ListParagraph"/>
              <w:numPr>
                <w:ilvl w:val="1"/>
                <w:numId w:val="15"/>
              </w:numPr>
              <w:spacing w:after="200"/>
            </w:pPr>
            <w:r>
              <w:t xml:space="preserve">Bronchiolitis </w:t>
            </w:r>
          </w:p>
          <w:p w14:paraId="06645689" w14:textId="77777777" w:rsidR="0052724E" w:rsidRDefault="0052724E" w:rsidP="0052724E">
            <w:pPr>
              <w:pStyle w:val="ListParagraph"/>
              <w:numPr>
                <w:ilvl w:val="1"/>
                <w:numId w:val="15"/>
              </w:numPr>
              <w:spacing w:after="200"/>
            </w:pPr>
            <w:r>
              <w:t>Lower respiratory tract infection/pneumonia</w:t>
            </w:r>
          </w:p>
          <w:p w14:paraId="5258860F" w14:textId="77777777" w:rsidR="0052724E" w:rsidRDefault="0052724E" w:rsidP="0052724E">
            <w:pPr>
              <w:pStyle w:val="ListParagraph"/>
              <w:numPr>
                <w:ilvl w:val="1"/>
                <w:numId w:val="15"/>
              </w:numPr>
              <w:spacing w:after="200"/>
            </w:pPr>
            <w:r>
              <w:t>Fever</w:t>
            </w:r>
          </w:p>
          <w:p w14:paraId="291BC172" w14:textId="77777777" w:rsidR="0052724E" w:rsidRDefault="0052724E" w:rsidP="0052724E">
            <w:pPr>
              <w:pStyle w:val="ListParagraph"/>
              <w:numPr>
                <w:ilvl w:val="1"/>
                <w:numId w:val="15"/>
              </w:numPr>
              <w:spacing w:after="200"/>
            </w:pPr>
            <w:r>
              <w:t>Croup/upper airway obstruction</w:t>
            </w:r>
          </w:p>
          <w:p w14:paraId="28D8FDA5" w14:textId="77777777" w:rsidR="0052724E" w:rsidRPr="00D40A58" w:rsidRDefault="0052724E" w:rsidP="0020168F">
            <w:pPr>
              <w:pStyle w:val="ListParagraph"/>
              <w:numPr>
                <w:ilvl w:val="0"/>
                <w:numId w:val="15"/>
              </w:numPr>
              <w:spacing w:after="0"/>
            </w:pPr>
            <w:r>
              <w:t xml:space="preserve">A handheld pulse oximeter should be used with a suitable infant sensor to ensure accurate SpO2 and pulse rate readings. </w:t>
            </w:r>
          </w:p>
          <w:p w14:paraId="27876481" w14:textId="77777777" w:rsidR="0052724E" w:rsidRDefault="0052724E" w:rsidP="0052724E">
            <w:pPr>
              <w:spacing w:after="0"/>
              <w:rPr>
                <w:color w:val="000000"/>
              </w:rPr>
            </w:pPr>
          </w:p>
          <w:p w14:paraId="1027803C" w14:textId="77777777" w:rsidR="0052724E" w:rsidRDefault="0052724E" w:rsidP="0052724E">
            <w:pPr>
              <w:spacing w:after="0"/>
              <w:rPr>
                <w:color w:val="000000"/>
                <w:u w:val="single"/>
              </w:rPr>
            </w:pPr>
            <w:r w:rsidRPr="00416C7C">
              <w:rPr>
                <w:color w:val="000000"/>
                <w:u w:val="single"/>
              </w:rPr>
              <w:t>Case for introducing paediatric pulse oximeters into GP practices</w:t>
            </w:r>
          </w:p>
          <w:p w14:paraId="566F2954" w14:textId="77777777" w:rsidR="0052724E" w:rsidRPr="00416C7C" w:rsidRDefault="0052724E" w:rsidP="0052724E">
            <w:pPr>
              <w:spacing w:after="0"/>
              <w:rPr>
                <w:u w:val="single"/>
              </w:rPr>
            </w:pPr>
          </w:p>
          <w:p w14:paraId="019169D0" w14:textId="77777777" w:rsidR="0052724E" w:rsidRDefault="0052724E" w:rsidP="0052724E">
            <w:pPr>
              <w:spacing w:after="0"/>
              <w:rPr>
                <w:color w:val="000000"/>
              </w:rPr>
            </w:pPr>
            <w:r>
              <w:rPr>
                <w:color w:val="000000"/>
              </w:rPr>
              <w:t xml:space="preserve">Adult oximeters are currently used widely within primary </w:t>
            </w:r>
            <w:proofErr w:type="gramStart"/>
            <w:r>
              <w:rPr>
                <w:color w:val="000000"/>
              </w:rPr>
              <w:t>care,</w:t>
            </w:r>
            <w:proofErr w:type="gramEnd"/>
            <w:r>
              <w:rPr>
                <w:color w:val="000000"/>
              </w:rPr>
              <w:t xml:space="preserve"> however the challenge facing GPs is that it can be difficult to collect reliable readings for children without the use of specialised paediatric equipment. Adult style probes are usually only suitable for children heavier than 20-30kg, and a wrap-around sensor is usually required to ensure reliable measurements in children less than 20kg. </w:t>
            </w:r>
            <w:r>
              <w:t xml:space="preserve">There are paediatric fingertip probes available, however, these are often only recommended for children larger than 15kg. For small children, it is necessary to have a separate emitter and detector which are secured on either side of a capillary bed. This can be done by using a disposable probe, however it is recommended that a reusable probe is used as these are useful in spot checks and are more cost effective. </w:t>
            </w:r>
          </w:p>
          <w:p w14:paraId="4295126D" w14:textId="77777777" w:rsidR="0052724E" w:rsidRDefault="0052724E" w:rsidP="0020168F">
            <w:pPr>
              <w:spacing w:after="0"/>
              <w:rPr>
                <w:color w:val="000000"/>
              </w:rPr>
            </w:pPr>
          </w:p>
          <w:p w14:paraId="6BF0AC79" w14:textId="24A52A2E" w:rsidR="0052724E" w:rsidRDefault="0052724E" w:rsidP="0020168F">
            <w:pPr>
              <w:spacing w:after="0"/>
              <w:rPr>
                <w:rFonts w:cs="Lucida Sans Unicode"/>
                <w:lang w:val="en"/>
              </w:rPr>
            </w:pPr>
            <w:r w:rsidRPr="00F868AC">
              <w:rPr>
                <w:color w:val="000000"/>
              </w:rPr>
              <w:t xml:space="preserve">GPs face a second challenge in that inappropriate referrals into secondary care can be made on the basis of inaccurate or falsely low SpO2 readings. </w:t>
            </w:r>
            <w:r>
              <w:rPr>
                <w:color w:val="000000"/>
              </w:rPr>
              <w:t xml:space="preserve">For example, </w:t>
            </w:r>
            <w:r w:rsidRPr="00F868AC">
              <w:rPr>
                <w:rFonts w:cs="Lucida Sans Unicode"/>
                <w:lang w:val="en"/>
              </w:rPr>
              <w:t>SpO2 values below 92% generally indicate the need for oxygen therapy and assessment in hospital</w:t>
            </w:r>
            <w:r>
              <w:rPr>
                <w:rFonts w:cs="Lucida Sans Unicode"/>
                <w:lang w:val="en"/>
              </w:rPr>
              <w:t>, however an inaccurate SpO2 reading can result in an unnecessary referral.</w:t>
            </w:r>
            <w:r>
              <w:rPr>
                <w:vertAlign w:val="superscript"/>
              </w:rPr>
              <w:t xml:space="preserve">6 </w:t>
            </w:r>
            <w:r w:rsidRPr="00F868AC">
              <w:rPr>
                <w:rFonts w:cs="Lucida Sans Unicode"/>
                <w:lang w:val="en"/>
              </w:rPr>
              <w:t xml:space="preserve">The use of pulse oximetry allows for an immediate assessment of SpO2 levels and enables GPs to confidently refer wheezy children along the most appropriate pathway. </w:t>
            </w:r>
            <w:r w:rsidR="008D6E0A">
              <w:rPr>
                <w:rFonts w:cs="Lucida Sans Unicode"/>
                <w:lang w:val="en"/>
              </w:rPr>
              <w:br/>
            </w:r>
          </w:p>
          <w:p w14:paraId="0B159133" w14:textId="77777777" w:rsidR="0052724E" w:rsidRPr="006F5115" w:rsidRDefault="0052724E" w:rsidP="0052724E">
            <w:pPr>
              <w:spacing w:after="200"/>
              <w:rPr>
                <w:rFonts w:cs="Lucida Sans Unicode"/>
                <w:u w:val="single"/>
                <w:lang w:val="en"/>
              </w:rPr>
            </w:pPr>
            <w:r>
              <w:rPr>
                <w:rFonts w:cs="Lucida Sans Unicode"/>
                <w:u w:val="single"/>
                <w:lang w:val="en"/>
              </w:rPr>
              <w:lastRenderedPageBreak/>
              <w:t>Current use of pulse oximetry in primary care</w:t>
            </w:r>
          </w:p>
          <w:p w14:paraId="55701317" w14:textId="77777777" w:rsidR="0052724E" w:rsidRDefault="0052724E" w:rsidP="0052724E">
            <w:pPr>
              <w:spacing w:after="200"/>
              <w:rPr>
                <w:rFonts w:cs="Lucida Sans Unicode"/>
                <w:lang w:val="en"/>
              </w:rPr>
            </w:pPr>
            <w:r>
              <w:rPr>
                <w:rFonts w:cs="Lucida Sans Unicode"/>
                <w:lang w:val="en"/>
              </w:rPr>
              <w:t>Some preliminary research was conducted to understand the current use of pulse oximeters in Hounslow GP practices. All Hounslow GPs were asked to provide information on the following:</w:t>
            </w:r>
          </w:p>
          <w:p w14:paraId="479930B9" w14:textId="77777777" w:rsidR="0052724E" w:rsidRDefault="0052724E" w:rsidP="0052724E">
            <w:pPr>
              <w:pStyle w:val="ListParagraph"/>
              <w:numPr>
                <w:ilvl w:val="0"/>
                <w:numId w:val="17"/>
              </w:numPr>
              <w:spacing w:after="200"/>
              <w:rPr>
                <w:rFonts w:cs="Lucida Sans Unicode"/>
                <w:lang w:val="en"/>
              </w:rPr>
            </w:pPr>
            <w:r>
              <w:rPr>
                <w:rFonts w:cs="Lucida Sans Unicode"/>
                <w:lang w:val="en"/>
              </w:rPr>
              <w:t>Whether they use pulse oximetry in their practice</w:t>
            </w:r>
          </w:p>
          <w:p w14:paraId="5AEEFB1A" w14:textId="77777777" w:rsidR="0052724E" w:rsidRDefault="0052724E" w:rsidP="0052724E">
            <w:pPr>
              <w:pStyle w:val="ListParagraph"/>
              <w:numPr>
                <w:ilvl w:val="0"/>
                <w:numId w:val="17"/>
              </w:numPr>
              <w:spacing w:after="200"/>
              <w:rPr>
                <w:rFonts w:cs="Lucida Sans Unicode"/>
                <w:lang w:val="en"/>
              </w:rPr>
            </w:pPr>
            <w:r>
              <w:rPr>
                <w:rFonts w:cs="Lucida Sans Unicode"/>
                <w:lang w:val="en"/>
              </w:rPr>
              <w:t>How many kits they have and which model they use</w:t>
            </w:r>
          </w:p>
          <w:p w14:paraId="1D2402BE" w14:textId="77777777" w:rsidR="0052724E" w:rsidRPr="0087495D" w:rsidRDefault="0052724E" w:rsidP="0052724E">
            <w:pPr>
              <w:pStyle w:val="ListParagraph"/>
              <w:numPr>
                <w:ilvl w:val="0"/>
                <w:numId w:val="17"/>
              </w:numPr>
              <w:spacing w:after="200"/>
              <w:rPr>
                <w:rFonts w:cs="Lucida Sans Unicode"/>
                <w:lang w:val="en"/>
              </w:rPr>
            </w:pPr>
            <w:r>
              <w:rPr>
                <w:rFonts w:cs="Lucida Sans Unicode"/>
                <w:lang w:val="en"/>
              </w:rPr>
              <w:t>Whether the equipment provides reliable readings for children under 2 years old</w:t>
            </w:r>
          </w:p>
          <w:p w14:paraId="0989F4E4" w14:textId="77777777" w:rsidR="0052724E" w:rsidRDefault="0052724E" w:rsidP="0052724E">
            <w:pPr>
              <w:spacing w:after="200"/>
              <w:rPr>
                <w:rFonts w:cs="Lucida Sans Unicode"/>
                <w:lang w:val="en"/>
              </w:rPr>
            </w:pPr>
            <w:r>
              <w:rPr>
                <w:rFonts w:cs="Lucida Sans Unicode"/>
                <w:lang w:val="en"/>
              </w:rPr>
              <w:t xml:space="preserve">44 responses were received out of a total of 54 GPs. 26 GPs responded to say that they do not use pulse oximetry at all within their practice. 18 GPs do use pulse oximetry, however although the equipment is reliable for adults, GPs did not report that these work reliably on children under the age of 2. GPs reported using a range of models such as the </w:t>
            </w:r>
            <w:proofErr w:type="spellStart"/>
            <w:r>
              <w:rPr>
                <w:rFonts w:cs="Lucida Sans Unicode"/>
                <w:lang w:val="en"/>
              </w:rPr>
              <w:t>Nonin</w:t>
            </w:r>
            <w:proofErr w:type="spellEnd"/>
            <w:r>
              <w:rPr>
                <w:rFonts w:cs="Lucida Sans Unicode"/>
                <w:lang w:val="en"/>
              </w:rPr>
              <w:t xml:space="preserve">, Merlin Medical, H Schein, and </w:t>
            </w:r>
            <w:proofErr w:type="spellStart"/>
            <w:r>
              <w:rPr>
                <w:rFonts w:cs="Lucida Sans Unicode"/>
                <w:lang w:val="en"/>
              </w:rPr>
              <w:t>Contec</w:t>
            </w:r>
            <w:proofErr w:type="spellEnd"/>
            <w:r>
              <w:rPr>
                <w:rFonts w:cs="Lucida Sans Unicode"/>
                <w:lang w:val="en"/>
              </w:rPr>
              <w:t xml:space="preserve">. </w:t>
            </w:r>
          </w:p>
          <w:p w14:paraId="0C847558" w14:textId="77777777" w:rsidR="0052724E" w:rsidRPr="00B83A76" w:rsidRDefault="0052724E" w:rsidP="0052724E">
            <w:pPr>
              <w:spacing w:after="200"/>
              <w:rPr>
                <w:rFonts w:cs="Lucida Sans Unicode"/>
                <w:u w:val="single"/>
                <w:lang w:val="en"/>
              </w:rPr>
            </w:pPr>
            <w:r w:rsidRPr="00B83A76">
              <w:rPr>
                <w:rFonts w:cs="Lucida Sans Unicode"/>
                <w:u w:val="single"/>
                <w:lang w:val="en"/>
              </w:rPr>
              <w:t>Available options and recommendations</w:t>
            </w:r>
          </w:p>
          <w:p w14:paraId="50967261" w14:textId="77777777" w:rsidR="0052724E" w:rsidRPr="00BE200B" w:rsidRDefault="0052724E" w:rsidP="0052724E">
            <w:pPr>
              <w:spacing w:after="200"/>
              <w:rPr>
                <w:rFonts w:cs="Lucida Sans Unicode"/>
                <w:lang w:val="en"/>
              </w:rPr>
            </w:pPr>
            <w:r>
              <w:rPr>
                <w:rFonts w:cs="Lucida Sans Unicode"/>
                <w:lang w:val="en"/>
              </w:rPr>
              <w:t xml:space="preserve">Imperial College Healthcare Trust clinicians carried out an analysis of different pulse oximetry models, with a focus on devices which are specifically suitable for use in primary care (see Appendix 1). All pulse oximeters considered have a selection of different probes and sensors for use with different age groups. From this analysis and through discussions with GPs, clinicians and CCG commissioners, the </w:t>
            </w:r>
            <w:proofErr w:type="spellStart"/>
            <w:r>
              <w:rPr>
                <w:rFonts w:cs="Lucida Sans Unicode"/>
                <w:lang w:val="en"/>
              </w:rPr>
              <w:t>Nonin</w:t>
            </w:r>
            <w:proofErr w:type="spellEnd"/>
            <w:r>
              <w:rPr>
                <w:rFonts w:cs="Lucida Sans Unicode"/>
                <w:lang w:val="en"/>
              </w:rPr>
              <w:t xml:space="preserve"> and </w:t>
            </w:r>
            <w:proofErr w:type="spellStart"/>
            <w:r>
              <w:rPr>
                <w:rFonts w:cs="Lucida Sans Unicode"/>
                <w:lang w:val="en"/>
              </w:rPr>
              <w:t>Masimo</w:t>
            </w:r>
            <w:proofErr w:type="spellEnd"/>
            <w:r>
              <w:rPr>
                <w:rFonts w:cs="Lucida Sans Unicode"/>
                <w:lang w:val="en"/>
              </w:rPr>
              <w:t xml:space="preserve"> models were proposed for further consideration. The </w:t>
            </w:r>
            <w:proofErr w:type="spellStart"/>
            <w:r>
              <w:rPr>
                <w:rFonts w:cs="Lucida Sans Unicode"/>
                <w:lang w:val="en"/>
              </w:rPr>
              <w:t>Nonin</w:t>
            </w:r>
            <w:proofErr w:type="spellEnd"/>
            <w:r>
              <w:rPr>
                <w:rFonts w:cs="Lucida Sans Unicode"/>
                <w:lang w:val="en"/>
              </w:rPr>
              <w:t xml:space="preserve"> 8500 series was selected as the preferred option as Hounslow GPs have found it to be reliable when used on adults, it is more cost effective and it is also used by London Ambulance Service (LAS).</w:t>
            </w:r>
          </w:p>
          <w:tbl>
            <w:tblPr>
              <w:tblStyle w:val="TableGrid"/>
              <w:tblW w:w="0" w:type="auto"/>
              <w:tblLook w:val="04A0" w:firstRow="1" w:lastRow="0" w:firstColumn="1" w:lastColumn="0" w:noHBand="0" w:noVBand="1"/>
            </w:tblPr>
            <w:tblGrid>
              <w:gridCol w:w="1671"/>
              <w:gridCol w:w="1472"/>
              <w:gridCol w:w="1842"/>
              <w:gridCol w:w="2410"/>
              <w:gridCol w:w="1395"/>
            </w:tblGrid>
            <w:tr w:rsidR="00FB080E" w14:paraId="0CFCC7C3" w14:textId="77777777" w:rsidTr="00FB080E">
              <w:trPr>
                <w:trHeight w:val="554"/>
              </w:trPr>
              <w:tc>
                <w:tcPr>
                  <w:tcW w:w="1671" w:type="dxa"/>
                  <w:shd w:val="clear" w:color="auto" w:fill="244061" w:themeFill="accent1" w:themeFillShade="80"/>
                </w:tcPr>
                <w:p w14:paraId="36AEE308" w14:textId="77777777" w:rsidR="00FB080E" w:rsidRPr="00515EC5" w:rsidRDefault="00FB080E" w:rsidP="00BC410E">
                  <w:pPr>
                    <w:spacing w:after="0"/>
                  </w:pPr>
                  <w:r w:rsidRPr="00515EC5">
                    <w:t>Manufacturer/ model</w:t>
                  </w:r>
                </w:p>
              </w:tc>
              <w:tc>
                <w:tcPr>
                  <w:tcW w:w="1472" w:type="dxa"/>
                  <w:shd w:val="clear" w:color="auto" w:fill="244061" w:themeFill="accent1" w:themeFillShade="80"/>
                </w:tcPr>
                <w:p w14:paraId="1BA61A17" w14:textId="69BEFD68" w:rsidR="00FB080E" w:rsidRPr="00515EC5" w:rsidRDefault="00FB080E" w:rsidP="00BC410E">
                  <w:pPr>
                    <w:spacing w:after="0"/>
                  </w:pPr>
                  <w:r w:rsidRPr="00515EC5">
                    <w:t>List price (excl. VAT)</w:t>
                  </w:r>
                </w:p>
              </w:tc>
              <w:tc>
                <w:tcPr>
                  <w:tcW w:w="1842" w:type="dxa"/>
                  <w:shd w:val="clear" w:color="auto" w:fill="244061" w:themeFill="accent1" w:themeFillShade="80"/>
                </w:tcPr>
                <w:p w14:paraId="6EFE878A" w14:textId="7322DDDB" w:rsidR="00FB080E" w:rsidRPr="00515EC5" w:rsidRDefault="00FB080E" w:rsidP="00BC410E">
                  <w:pPr>
                    <w:spacing w:after="0"/>
                  </w:pPr>
                  <w:r w:rsidRPr="00515EC5">
                    <w:t>Reusable probes?</w:t>
                  </w:r>
                </w:p>
              </w:tc>
              <w:tc>
                <w:tcPr>
                  <w:tcW w:w="2410" w:type="dxa"/>
                  <w:shd w:val="clear" w:color="auto" w:fill="244061" w:themeFill="accent1" w:themeFillShade="80"/>
                </w:tcPr>
                <w:p w14:paraId="35A2A88D" w14:textId="77777777" w:rsidR="00FB080E" w:rsidRPr="00515EC5" w:rsidRDefault="00FB080E" w:rsidP="00BC410E">
                  <w:pPr>
                    <w:spacing w:after="0"/>
                  </w:pPr>
                  <w:r w:rsidRPr="00515EC5">
                    <w:t>Comments</w:t>
                  </w:r>
                </w:p>
              </w:tc>
              <w:tc>
                <w:tcPr>
                  <w:tcW w:w="1395" w:type="dxa"/>
                  <w:shd w:val="clear" w:color="auto" w:fill="244061" w:themeFill="accent1" w:themeFillShade="80"/>
                </w:tcPr>
                <w:p w14:paraId="3C2906F5" w14:textId="77777777" w:rsidR="00FB080E" w:rsidRPr="00515EC5" w:rsidRDefault="00FB080E" w:rsidP="00BC410E">
                  <w:pPr>
                    <w:spacing w:after="0"/>
                  </w:pPr>
                  <w:r w:rsidRPr="00515EC5">
                    <w:t>Order of preference</w:t>
                  </w:r>
                </w:p>
              </w:tc>
            </w:tr>
            <w:tr w:rsidR="00FB080E" w14:paraId="36B4F31D" w14:textId="77777777" w:rsidTr="00FB080E">
              <w:tc>
                <w:tcPr>
                  <w:tcW w:w="1671" w:type="dxa"/>
                </w:tcPr>
                <w:p w14:paraId="588846C0" w14:textId="77777777" w:rsidR="00FB080E" w:rsidRPr="001774C1" w:rsidRDefault="00FB080E" w:rsidP="0052724E">
                  <w:pPr>
                    <w:spacing w:after="200"/>
                  </w:pPr>
                  <w:proofErr w:type="spellStart"/>
                  <w:r>
                    <w:rPr>
                      <w:b/>
                    </w:rPr>
                    <w:t>Nonin</w:t>
                  </w:r>
                  <w:proofErr w:type="spellEnd"/>
                  <w:r>
                    <w:rPr>
                      <w:b/>
                    </w:rPr>
                    <w:br/>
                  </w:r>
                  <w:r>
                    <w:t>8500 series</w:t>
                  </w:r>
                </w:p>
              </w:tc>
              <w:tc>
                <w:tcPr>
                  <w:tcW w:w="1472" w:type="dxa"/>
                </w:tcPr>
                <w:p w14:paraId="130A8DB5" w14:textId="46209C55" w:rsidR="00FB080E" w:rsidRPr="00FB080E" w:rsidRDefault="00FB080E" w:rsidP="00305F33">
                  <w:pPr>
                    <w:spacing w:after="0"/>
                  </w:pPr>
                  <w:r w:rsidRPr="00FB080E">
                    <w:t>£431.95 for oximeter, sensor and pack of 25 wraps (wraps free of charge)</w:t>
                  </w:r>
                </w:p>
              </w:tc>
              <w:tc>
                <w:tcPr>
                  <w:tcW w:w="1842" w:type="dxa"/>
                </w:tcPr>
                <w:p w14:paraId="00B6FDF4" w14:textId="4E439DD3" w:rsidR="00FB080E" w:rsidRDefault="00FB080E" w:rsidP="0052724E">
                  <w:pPr>
                    <w:spacing w:after="200"/>
                  </w:pPr>
                  <w:r>
                    <w:t>Yes</w:t>
                  </w:r>
                </w:p>
              </w:tc>
              <w:tc>
                <w:tcPr>
                  <w:tcW w:w="2410" w:type="dxa"/>
                </w:tcPr>
                <w:p w14:paraId="07392208" w14:textId="77777777" w:rsidR="00FB080E" w:rsidRDefault="00FB080E" w:rsidP="00BC410E">
                  <w:pPr>
                    <w:spacing w:after="0"/>
                  </w:pPr>
                  <w:r>
                    <w:t>Used by London Ambulance Service and Hounslow GPs</w:t>
                  </w:r>
                  <w:r>
                    <w:br/>
                    <w:t>Supported by Imperial clinicians</w:t>
                  </w:r>
                </w:p>
              </w:tc>
              <w:tc>
                <w:tcPr>
                  <w:tcW w:w="1395" w:type="dxa"/>
                </w:tcPr>
                <w:p w14:paraId="35DB3CB6" w14:textId="77777777" w:rsidR="00FB080E" w:rsidRDefault="00FB080E" w:rsidP="0052724E">
                  <w:pPr>
                    <w:spacing w:after="200"/>
                    <w:jc w:val="center"/>
                  </w:pPr>
                  <w:r>
                    <w:t>1</w:t>
                  </w:r>
                </w:p>
              </w:tc>
            </w:tr>
            <w:tr w:rsidR="00FB080E" w14:paraId="63EEF360" w14:textId="77777777" w:rsidTr="00FB080E">
              <w:tc>
                <w:tcPr>
                  <w:tcW w:w="1671" w:type="dxa"/>
                </w:tcPr>
                <w:p w14:paraId="56DF6B5D" w14:textId="77777777" w:rsidR="00FB080E" w:rsidRPr="001F29B1" w:rsidRDefault="00FB080E" w:rsidP="0052724E">
                  <w:pPr>
                    <w:spacing w:after="200"/>
                    <w:rPr>
                      <w:b/>
                    </w:rPr>
                  </w:pPr>
                  <w:proofErr w:type="spellStart"/>
                  <w:r w:rsidRPr="001F29B1">
                    <w:rPr>
                      <w:b/>
                    </w:rPr>
                    <w:t>Masimo</w:t>
                  </w:r>
                  <w:proofErr w:type="spellEnd"/>
                  <w:r>
                    <w:rPr>
                      <w:b/>
                    </w:rPr>
                    <w:br/>
                  </w:r>
                  <w:r w:rsidRPr="001774C1">
                    <w:t>Rad-5/5v</w:t>
                  </w:r>
                </w:p>
              </w:tc>
              <w:tc>
                <w:tcPr>
                  <w:tcW w:w="1472" w:type="dxa"/>
                </w:tcPr>
                <w:p w14:paraId="5485AAFB" w14:textId="7CDDC1D0" w:rsidR="00FB080E" w:rsidRPr="00FB080E" w:rsidRDefault="00FB080E" w:rsidP="00305F33">
                  <w:pPr>
                    <w:spacing w:after="0"/>
                  </w:pPr>
                  <w:r w:rsidRPr="00FB080E">
                    <w:t>£736 for oximeter, sensor and pack of 12 wraps</w:t>
                  </w:r>
                </w:p>
              </w:tc>
              <w:tc>
                <w:tcPr>
                  <w:tcW w:w="1842" w:type="dxa"/>
                </w:tcPr>
                <w:p w14:paraId="69175FB1" w14:textId="16EB1B5E" w:rsidR="00FB080E" w:rsidRDefault="00FB080E" w:rsidP="0052724E">
                  <w:pPr>
                    <w:spacing w:after="200"/>
                  </w:pPr>
                  <w:r>
                    <w:t>Yes</w:t>
                  </w:r>
                </w:p>
              </w:tc>
              <w:tc>
                <w:tcPr>
                  <w:tcW w:w="2410" w:type="dxa"/>
                </w:tcPr>
                <w:p w14:paraId="40BF048F" w14:textId="6B8A46E3" w:rsidR="00FB080E" w:rsidRDefault="0079009E" w:rsidP="0079009E">
                  <w:pPr>
                    <w:spacing w:after="0"/>
                  </w:pPr>
                  <w:r>
                    <w:t>The b</w:t>
                  </w:r>
                  <w:r w:rsidR="00FB080E">
                    <w:t xml:space="preserve">ulk of trial data has been performed with </w:t>
                  </w:r>
                  <w:proofErr w:type="spellStart"/>
                  <w:r w:rsidR="00FB080E">
                    <w:t>Masimo</w:t>
                  </w:r>
                  <w:proofErr w:type="spellEnd"/>
                  <w:r w:rsidR="00FB080E">
                    <w:t xml:space="preserve"> devices, showing them to be reliable</w:t>
                  </w:r>
                </w:p>
              </w:tc>
              <w:tc>
                <w:tcPr>
                  <w:tcW w:w="1395" w:type="dxa"/>
                </w:tcPr>
                <w:p w14:paraId="7B1EB411" w14:textId="77777777" w:rsidR="00FB080E" w:rsidRDefault="00FB080E" w:rsidP="0052724E">
                  <w:pPr>
                    <w:spacing w:after="200"/>
                    <w:jc w:val="center"/>
                  </w:pPr>
                  <w:r>
                    <w:t>2</w:t>
                  </w:r>
                </w:p>
              </w:tc>
            </w:tr>
          </w:tbl>
          <w:p w14:paraId="2C495188" w14:textId="16B25A49" w:rsidR="0052724E" w:rsidRDefault="0020168F" w:rsidP="0052724E">
            <w:pPr>
              <w:spacing w:after="0"/>
              <w:rPr>
                <w:color w:val="000000"/>
                <w:u w:val="single"/>
              </w:rPr>
            </w:pPr>
            <w:r>
              <w:rPr>
                <w:color w:val="000000"/>
                <w:u w:val="single"/>
              </w:rPr>
              <w:br/>
            </w:r>
            <w:r w:rsidR="0052724E" w:rsidRPr="001D2642">
              <w:rPr>
                <w:color w:val="000000"/>
                <w:u w:val="single"/>
              </w:rPr>
              <w:t xml:space="preserve">Impact </w:t>
            </w:r>
            <w:r w:rsidR="0052724E">
              <w:rPr>
                <w:color w:val="000000"/>
                <w:u w:val="single"/>
              </w:rPr>
              <w:t xml:space="preserve">of pulse oximetry </w:t>
            </w:r>
            <w:r w:rsidR="0052724E" w:rsidRPr="001D2642">
              <w:rPr>
                <w:color w:val="000000"/>
                <w:u w:val="single"/>
              </w:rPr>
              <w:t xml:space="preserve">on </w:t>
            </w:r>
            <w:r w:rsidR="0052724E">
              <w:rPr>
                <w:color w:val="000000"/>
                <w:u w:val="single"/>
              </w:rPr>
              <w:t xml:space="preserve">the </w:t>
            </w:r>
            <w:r w:rsidR="0052724E" w:rsidRPr="001D2642">
              <w:rPr>
                <w:color w:val="000000"/>
                <w:u w:val="single"/>
              </w:rPr>
              <w:t>wider paediatric pathway</w:t>
            </w:r>
            <w:r w:rsidR="0052724E">
              <w:rPr>
                <w:color w:val="000000"/>
                <w:u w:val="single"/>
              </w:rPr>
              <w:t xml:space="preserve"> including PAU and Asthma Service</w:t>
            </w:r>
          </w:p>
          <w:p w14:paraId="13C9A780" w14:textId="77777777" w:rsidR="0052724E" w:rsidRDefault="0052724E" w:rsidP="0052724E">
            <w:pPr>
              <w:spacing w:after="0"/>
              <w:rPr>
                <w:color w:val="000000"/>
                <w:u w:val="single"/>
              </w:rPr>
            </w:pPr>
          </w:p>
          <w:p w14:paraId="3A2B8BDA" w14:textId="77777777" w:rsidR="0052724E" w:rsidRDefault="0052724E" w:rsidP="0052724E">
            <w:pPr>
              <w:spacing w:after="0"/>
              <w:rPr>
                <w:color w:val="000000"/>
              </w:rPr>
            </w:pPr>
            <w:r>
              <w:rPr>
                <w:color w:val="000000"/>
              </w:rPr>
              <w:t xml:space="preserve">Introducing paediatric pulse oximetry in Hounslow GP practices will impact on the wider </w:t>
            </w:r>
            <w:r>
              <w:rPr>
                <w:color w:val="000000"/>
              </w:rPr>
              <w:lastRenderedPageBreak/>
              <w:t>paediatric pathway by helping to ensure referrals are made appropriately into secondary care, for example A&amp;E, UCC, PAU or the Asthma &amp; Wheeze service, based on accurate SpO2 and pulse rate readings.</w:t>
            </w:r>
          </w:p>
          <w:p w14:paraId="33A1066F" w14:textId="77777777" w:rsidR="0052724E" w:rsidRDefault="0052724E" w:rsidP="0052724E">
            <w:pPr>
              <w:spacing w:after="0"/>
              <w:rPr>
                <w:color w:val="000000"/>
              </w:rPr>
            </w:pPr>
          </w:p>
          <w:p w14:paraId="43809ACE" w14:textId="77777777" w:rsidR="0052724E" w:rsidRDefault="0052724E" w:rsidP="0052724E">
            <w:pPr>
              <w:spacing w:after="0"/>
              <w:rPr>
                <w:color w:val="000000"/>
              </w:rPr>
            </w:pPr>
            <w:r>
              <w:rPr>
                <w:color w:val="000000"/>
              </w:rPr>
              <w:t xml:space="preserve">It is recommended that SpO2 monitoring is a compulsory part of the referral process into the community Asthma &amp; Wheeze Service and the PAU at West Middlesex University Hospital (WMUH) to reduce occurrences of inappropriate referrals. This can be built into the referral templates on </w:t>
            </w:r>
            <w:proofErr w:type="spellStart"/>
            <w:r>
              <w:rPr>
                <w:color w:val="000000"/>
              </w:rPr>
              <w:t>SystmOne</w:t>
            </w:r>
            <w:proofErr w:type="spellEnd"/>
            <w:r>
              <w:rPr>
                <w:color w:val="000000"/>
              </w:rPr>
              <w:t xml:space="preserve"> for children who present with asthma and wheeze, bronchiolitis, pneumonia/LRTI, febrile illness, croup and upper airway obstruction. This must however be used in conjunction with other clinical signs, such as breathing and respiratory rate, in the assessment of an acutely unwell child. </w:t>
            </w:r>
          </w:p>
          <w:p w14:paraId="37BF9971" w14:textId="77777777" w:rsidR="0052724E" w:rsidRDefault="0052724E" w:rsidP="0052724E">
            <w:pPr>
              <w:spacing w:after="0"/>
              <w:rPr>
                <w:color w:val="000000"/>
              </w:rPr>
            </w:pPr>
          </w:p>
          <w:p w14:paraId="4C6E5E44" w14:textId="77777777" w:rsidR="0052724E" w:rsidRPr="00E84B0A" w:rsidRDefault="0052724E" w:rsidP="0052724E">
            <w:pPr>
              <w:spacing w:after="0"/>
              <w:rPr>
                <w:color w:val="000000"/>
                <w:u w:val="single"/>
              </w:rPr>
            </w:pPr>
            <w:r w:rsidRPr="00E84B0A">
              <w:rPr>
                <w:color w:val="000000"/>
                <w:u w:val="single"/>
              </w:rPr>
              <w:t>Training</w:t>
            </w:r>
          </w:p>
          <w:p w14:paraId="412324DB" w14:textId="77777777" w:rsidR="0052724E" w:rsidRDefault="0052724E" w:rsidP="0052724E">
            <w:pPr>
              <w:spacing w:after="0"/>
              <w:rPr>
                <w:color w:val="000000"/>
                <w:u w:val="single"/>
              </w:rPr>
            </w:pPr>
          </w:p>
          <w:p w14:paraId="7C49AA57" w14:textId="77777777" w:rsidR="0052724E" w:rsidRDefault="0052724E" w:rsidP="0052724E">
            <w:pPr>
              <w:spacing w:after="0"/>
              <w:rPr>
                <w:color w:val="000000"/>
              </w:rPr>
            </w:pPr>
            <w:r>
              <w:rPr>
                <w:color w:val="000000"/>
              </w:rPr>
              <w:t xml:space="preserve">Some training and support must be available for GPs to ensure the equipment is used correctly and effectively. One option would be for the manufacturer to provide this training at a HEAT conference. A second option, as suggested by a leading consultant at Imperial College Healthcare Trust, would be to develop an educational video clip which can be shared amongst primary care professionals. </w:t>
            </w:r>
          </w:p>
          <w:p w14:paraId="3118C211" w14:textId="77777777" w:rsidR="0052724E" w:rsidRPr="0091702F" w:rsidRDefault="0052724E" w:rsidP="0052724E">
            <w:pPr>
              <w:spacing w:after="0"/>
              <w:rPr>
                <w:color w:val="000000"/>
              </w:rPr>
            </w:pPr>
          </w:p>
          <w:p w14:paraId="1DD9E6C3" w14:textId="77777777" w:rsidR="0052724E" w:rsidRDefault="0052724E" w:rsidP="0052724E">
            <w:pPr>
              <w:spacing w:after="0"/>
              <w:rPr>
                <w:color w:val="000000"/>
                <w:u w:val="single"/>
              </w:rPr>
            </w:pPr>
            <w:r w:rsidRPr="00E84B0A">
              <w:rPr>
                <w:color w:val="000000"/>
                <w:u w:val="single"/>
              </w:rPr>
              <w:t>Evaluation</w:t>
            </w:r>
          </w:p>
          <w:p w14:paraId="4B767F7C" w14:textId="77777777" w:rsidR="0052724E" w:rsidRDefault="0052724E" w:rsidP="0052724E">
            <w:pPr>
              <w:spacing w:after="0"/>
              <w:rPr>
                <w:color w:val="000000"/>
                <w:u w:val="single"/>
              </w:rPr>
            </w:pPr>
          </w:p>
          <w:p w14:paraId="1C059E2D" w14:textId="77777777" w:rsidR="0052724E" w:rsidRDefault="0052724E" w:rsidP="0052724E">
            <w:pPr>
              <w:rPr>
                <w:color w:val="000000"/>
              </w:rPr>
            </w:pPr>
            <w:r>
              <w:rPr>
                <w:color w:val="000000"/>
              </w:rPr>
              <w:t>It is recommended that a piece of evaluation work is carried out after 3-4 months to assess the impact of introducing paediatric pulse oximetry into Hounslow GPs. This will be supported by the Hounslow Joint Commissioning team and could take the form of a survey or interview with GPs to establish:</w:t>
            </w:r>
          </w:p>
          <w:p w14:paraId="1E91EDEE" w14:textId="77777777" w:rsidR="0052724E" w:rsidRDefault="0052724E" w:rsidP="0052724E">
            <w:pPr>
              <w:pStyle w:val="ListParagraph"/>
              <w:numPr>
                <w:ilvl w:val="0"/>
                <w:numId w:val="16"/>
              </w:numPr>
              <w:spacing w:after="0"/>
              <w:rPr>
                <w:color w:val="000000"/>
              </w:rPr>
            </w:pPr>
            <w:r>
              <w:rPr>
                <w:color w:val="000000"/>
              </w:rPr>
              <w:t>Frequency of use of pulse oximetry kits</w:t>
            </w:r>
          </w:p>
          <w:p w14:paraId="5F61852C" w14:textId="77777777" w:rsidR="0052724E" w:rsidRDefault="0052724E" w:rsidP="0052724E">
            <w:pPr>
              <w:pStyle w:val="ListParagraph"/>
              <w:numPr>
                <w:ilvl w:val="0"/>
                <w:numId w:val="16"/>
              </w:numPr>
              <w:spacing w:after="0"/>
              <w:rPr>
                <w:color w:val="000000"/>
              </w:rPr>
            </w:pPr>
            <w:r>
              <w:rPr>
                <w:color w:val="000000"/>
              </w:rPr>
              <w:t xml:space="preserve">Impact of use (e.g. parental and GP confidence) </w:t>
            </w:r>
          </w:p>
          <w:p w14:paraId="3B3ECE4A" w14:textId="77777777" w:rsidR="0052724E" w:rsidRPr="00BE7631" w:rsidRDefault="0052724E" w:rsidP="0052724E">
            <w:pPr>
              <w:pStyle w:val="ListParagraph"/>
              <w:numPr>
                <w:ilvl w:val="0"/>
                <w:numId w:val="16"/>
              </w:numPr>
              <w:spacing w:after="0"/>
              <w:rPr>
                <w:color w:val="000000"/>
                <w:u w:val="single"/>
              </w:rPr>
            </w:pPr>
            <w:r w:rsidRPr="0094000D">
              <w:rPr>
                <w:color w:val="000000"/>
              </w:rPr>
              <w:t xml:space="preserve">Impact </w:t>
            </w:r>
            <w:r>
              <w:rPr>
                <w:color w:val="000000"/>
              </w:rPr>
              <w:t xml:space="preserve">on </w:t>
            </w:r>
            <w:r w:rsidRPr="0094000D">
              <w:rPr>
                <w:color w:val="000000"/>
              </w:rPr>
              <w:t xml:space="preserve">number of referrals to secondary care </w:t>
            </w:r>
            <w:r>
              <w:rPr>
                <w:rFonts w:eastAsiaTheme="minorEastAsia"/>
                <w:noProof/>
                <w:lang w:eastAsia="en-GB"/>
              </w:rPr>
              <w:t>(e.g. Asthma &amp; Wheeze Service, PAU etc.)</w:t>
            </w:r>
          </w:p>
          <w:p w14:paraId="737CB689" w14:textId="77777777" w:rsidR="0052724E" w:rsidRDefault="0052724E" w:rsidP="0052724E">
            <w:pPr>
              <w:spacing w:after="0"/>
              <w:rPr>
                <w:color w:val="000000"/>
                <w:u w:val="single"/>
              </w:rPr>
            </w:pPr>
          </w:p>
          <w:p w14:paraId="127394D1" w14:textId="568C2080" w:rsidR="00AF7CFC" w:rsidRPr="00AC38BF" w:rsidRDefault="0052724E" w:rsidP="00305F33">
            <w:pPr>
              <w:spacing w:after="0" w:line="276" w:lineRule="auto"/>
            </w:pPr>
            <w:r>
              <w:rPr>
                <w:color w:val="000000"/>
              </w:rPr>
              <w:t>There may also be an opportunity for the Hounslow Joint Commissioning team to support clinicians to deliver a presentation at a Healthy London Partnership event to share learning with other local areas.</w:t>
            </w:r>
          </w:p>
        </w:tc>
      </w:tr>
    </w:tbl>
    <w:p w14:paraId="40FAB928" w14:textId="77777777" w:rsidR="00DB488F" w:rsidRPr="00AC38BF" w:rsidRDefault="00DB488F" w:rsidP="00AC38BF">
      <w:pPr>
        <w:pStyle w:val="NoSpacing"/>
      </w:pPr>
    </w:p>
    <w:tbl>
      <w:tblPr>
        <w:tblStyle w:val="TableGrid"/>
        <w:tblpPr w:leftFromText="180" w:rightFromText="180" w:vertAnchor="text" w:horzAnchor="margin" w:tblpY="214"/>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9209"/>
      </w:tblGrid>
      <w:tr w:rsidR="00BC410E" w:rsidRPr="00AC38BF" w14:paraId="07540CAA" w14:textId="77777777" w:rsidTr="00B378A4">
        <w:trPr>
          <w:trHeight w:val="113"/>
        </w:trPr>
        <w:tc>
          <w:tcPr>
            <w:tcW w:w="9209" w:type="dxa"/>
            <w:shd w:val="clear" w:color="auto" w:fill="auto"/>
          </w:tcPr>
          <w:p w14:paraId="3B8F664B" w14:textId="27675B7B" w:rsidR="00BC410E" w:rsidRPr="00AC38BF" w:rsidRDefault="00AE0C5D" w:rsidP="00BC410E">
            <w:pPr>
              <w:pStyle w:val="Tableprompt"/>
            </w:pPr>
            <w:r w:rsidRPr="00AC38BF">
              <w:t>Quality &amp; Safety/ Patient Engagement/ Impact on patient services</w:t>
            </w:r>
          </w:p>
        </w:tc>
      </w:tr>
      <w:tr w:rsidR="00BC410E" w:rsidRPr="00AC38BF" w14:paraId="43E02D5E" w14:textId="77777777" w:rsidTr="00B378A4">
        <w:trPr>
          <w:trHeight w:val="554"/>
        </w:trPr>
        <w:tc>
          <w:tcPr>
            <w:tcW w:w="9209" w:type="dxa"/>
            <w:shd w:val="clear" w:color="auto" w:fill="auto"/>
          </w:tcPr>
          <w:p w14:paraId="1DBF02EE" w14:textId="11DE801A" w:rsidR="00BC410E" w:rsidRPr="00403EAF" w:rsidRDefault="00AE0C5D" w:rsidP="00B378A4">
            <w:pPr>
              <w:pStyle w:val="Tableprompt"/>
            </w:pPr>
            <w:r>
              <w:rPr>
                <w:b w:val="0"/>
              </w:rPr>
              <w:t>Introducing pulse oximetry into primary care will help to ensure that referrals into secondary care are made appropriately on the basis of reliable SpO2 levels. This should reduce the number of inappropriate referrals from primary care to secondary care.</w:t>
            </w:r>
            <w:r w:rsidR="00B378A4">
              <w:rPr>
                <w:b w:val="0"/>
              </w:rPr>
              <w:t xml:space="preserve"> </w:t>
            </w:r>
            <w:r>
              <w:rPr>
                <w:b w:val="0"/>
              </w:rPr>
              <w:t xml:space="preserve">The use of pulse oximetry in primary care will enable acutely unwell children to be referred directly to the most appropriate service, such as A&amp;E, PAU or Asthma &amp; Wheeze service. </w:t>
            </w:r>
            <w:r w:rsidR="00B378A4">
              <w:rPr>
                <w:b w:val="0"/>
              </w:rPr>
              <w:t xml:space="preserve">In addition, it will </w:t>
            </w:r>
            <w:r>
              <w:rPr>
                <w:b w:val="0"/>
              </w:rPr>
              <w:t xml:space="preserve">improve parental confidence in primary care assessment and referral </w:t>
            </w:r>
            <w:r w:rsidR="00B378A4">
              <w:rPr>
                <w:b w:val="0"/>
              </w:rPr>
              <w:t xml:space="preserve">processes. </w:t>
            </w:r>
          </w:p>
        </w:tc>
      </w:tr>
    </w:tbl>
    <w:p w14:paraId="58BF13DA" w14:textId="77777777" w:rsidR="00AE0C5D" w:rsidRDefault="00AE0C5D" w:rsidP="00AC38BF">
      <w:pPr>
        <w:pStyle w:val="NoSpacing"/>
      </w:pPr>
      <w:bookmarkStart w:id="0" w:name="_GoBack"/>
      <w:bookmarkEnd w:id="0"/>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9016"/>
      </w:tblGrid>
      <w:tr w:rsidR="00AE0C5D" w:rsidRPr="00AC38BF" w14:paraId="4A6CE605" w14:textId="77777777" w:rsidTr="00B378A4">
        <w:trPr>
          <w:trHeight w:val="113"/>
        </w:trPr>
        <w:tc>
          <w:tcPr>
            <w:tcW w:w="9016" w:type="dxa"/>
            <w:shd w:val="clear" w:color="auto" w:fill="auto"/>
          </w:tcPr>
          <w:p w14:paraId="3B125C54" w14:textId="1258802F" w:rsidR="00AE0C5D" w:rsidRPr="00AC38BF" w:rsidRDefault="00AE0C5D" w:rsidP="00DC5D22">
            <w:pPr>
              <w:pStyle w:val="Tableprompt"/>
            </w:pPr>
            <w:r>
              <w:t>F</w:t>
            </w:r>
            <w:r w:rsidRPr="00AC38BF">
              <w:t>inance, resources and QIPP</w:t>
            </w:r>
          </w:p>
        </w:tc>
      </w:tr>
      <w:tr w:rsidR="00B378A4" w:rsidRPr="00AC38BF" w14:paraId="60D7D98F" w14:textId="77777777" w:rsidTr="00086328">
        <w:trPr>
          <w:trHeight w:val="9009"/>
        </w:trPr>
        <w:tc>
          <w:tcPr>
            <w:tcW w:w="9016" w:type="dxa"/>
            <w:shd w:val="clear" w:color="auto" w:fill="auto"/>
          </w:tcPr>
          <w:p w14:paraId="53C22BA0" w14:textId="77777777" w:rsidR="00B378A4" w:rsidRDefault="00B378A4" w:rsidP="00B378A4">
            <w:pPr>
              <w:pStyle w:val="Tableprompt"/>
              <w:rPr>
                <w:b w:val="0"/>
              </w:rPr>
            </w:pPr>
            <w:r>
              <w:rPr>
                <w:b w:val="0"/>
              </w:rPr>
              <w:t xml:space="preserve">To calculate the number of pulse oximeters required, quotes were gathered from the </w:t>
            </w:r>
            <w:proofErr w:type="spellStart"/>
            <w:r>
              <w:rPr>
                <w:b w:val="0"/>
              </w:rPr>
              <w:t>Nonin</w:t>
            </w:r>
            <w:proofErr w:type="spellEnd"/>
            <w:r>
              <w:rPr>
                <w:b w:val="0"/>
              </w:rPr>
              <w:t xml:space="preserve"> manufacturer based on varying assumptions about the number of devices required. Within Hounslow there are 25 ‘small’ GP practices (5,000 patients or less), and 29 ‘large’ GP practices (5,000 or more). The following costs are proposed to the Clinical Board for consideration: </w:t>
            </w:r>
          </w:p>
          <w:tbl>
            <w:tblPr>
              <w:tblStyle w:val="TableGrid"/>
              <w:tblW w:w="0" w:type="auto"/>
              <w:tblLook w:val="04A0" w:firstRow="1" w:lastRow="0" w:firstColumn="1" w:lastColumn="0" w:noHBand="0" w:noVBand="1"/>
            </w:tblPr>
            <w:tblGrid>
              <w:gridCol w:w="1716"/>
              <w:gridCol w:w="1128"/>
              <w:gridCol w:w="1317"/>
              <w:gridCol w:w="1411"/>
              <w:gridCol w:w="1549"/>
              <w:gridCol w:w="1669"/>
            </w:tblGrid>
            <w:tr w:rsidR="00E139CB" w14:paraId="1FEF5C48" w14:textId="77777777" w:rsidTr="00167B12">
              <w:tc>
                <w:tcPr>
                  <w:tcW w:w="1725" w:type="dxa"/>
                  <w:shd w:val="clear" w:color="auto" w:fill="244061" w:themeFill="accent1" w:themeFillShade="80"/>
                </w:tcPr>
                <w:p w14:paraId="0A504CA6" w14:textId="77777777" w:rsidR="00E139CB" w:rsidRDefault="00E139CB" w:rsidP="00E139CB">
                  <w:r>
                    <w:t>Description</w:t>
                  </w:r>
                </w:p>
              </w:tc>
              <w:tc>
                <w:tcPr>
                  <w:tcW w:w="1134" w:type="dxa"/>
                  <w:shd w:val="clear" w:color="auto" w:fill="244061" w:themeFill="accent1" w:themeFillShade="80"/>
                </w:tcPr>
                <w:p w14:paraId="45993ACB" w14:textId="77777777" w:rsidR="00E139CB" w:rsidRDefault="00E139CB" w:rsidP="00E139CB">
                  <w:r>
                    <w:t>List price per unit</w:t>
                  </w:r>
                </w:p>
              </w:tc>
              <w:tc>
                <w:tcPr>
                  <w:tcW w:w="1276" w:type="dxa"/>
                  <w:shd w:val="clear" w:color="auto" w:fill="244061" w:themeFill="accent1" w:themeFillShade="80"/>
                </w:tcPr>
                <w:p w14:paraId="22716A52" w14:textId="77777777" w:rsidR="00E139CB" w:rsidRDefault="00E139CB" w:rsidP="00E139CB">
                  <w:r>
                    <w:t>Comments</w:t>
                  </w:r>
                </w:p>
              </w:tc>
              <w:tc>
                <w:tcPr>
                  <w:tcW w:w="1417" w:type="dxa"/>
                  <w:shd w:val="clear" w:color="auto" w:fill="244061" w:themeFill="accent1" w:themeFillShade="80"/>
                </w:tcPr>
                <w:p w14:paraId="740886D4" w14:textId="77777777" w:rsidR="00E139CB" w:rsidRDefault="00E139CB" w:rsidP="00E139CB">
                  <w:r>
                    <w:t>Total units</w:t>
                  </w:r>
                </w:p>
              </w:tc>
              <w:tc>
                <w:tcPr>
                  <w:tcW w:w="1560" w:type="dxa"/>
                  <w:shd w:val="clear" w:color="auto" w:fill="244061" w:themeFill="accent1" w:themeFillShade="80"/>
                </w:tcPr>
                <w:p w14:paraId="06297851" w14:textId="77777777" w:rsidR="00E139CB" w:rsidRDefault="00E139CB" w:rsidP="00E139CB">
                  <w:r>
                    <w:t>Discount</w:t>
                  </w:r>
                </w:p>
              </w:tc>
              <w:tc>
                <w:tcPr>
                  <w:tcW w:w="1678" w:type="dxa"/>
                  <w:shd w:val="clear" w:color="auto" w:fill="244061" w:themeFill="accent1" w:themeFillShade="80"/>
                </w:tcPr>
                <w:p w14:paraId="7FF9744B" w14:textId="77777777" w:rsidR="00E139CB" w:rsidRDefault="00E139CB" w:rsidP="00E139CB">
                  <w:r>
                    <w:t>Total cost (incl. VAT)</w:t>
                  </w:r>
                </w:p>
              </w:tc>
            </w:tr>
            <w:tr w:rsidR="00167B12" w14:paraId="0CD9A1EC" w14:textId="77777777" w:rsidTr="00167B12">
              <w:trPr>
                <w:trHeight w:val="1189"/>
              </w:trPr>
              <w:tc>
                <w:tcPr>
                  <w:tcW w:w="1725" w:type="dxa"/>
                  <w:vMerge w:val="restart"/>
                </w:tcPr>
                <w:p w14:paraId="3CB3F386" w14:textId="77777777" w:rsidR="00167B12" w:rsidRPr="00B378A4" w:rsidRDefault="00167B12" w:rsidP="00E139CB">
                  <w:proofErr w:type="spellStart"/>
                  <w:r w:rsidRPr="00086328">
                    <w:rPr>
                      <w:b/>
                    </w:rPr>
                    <w:t>Nonin</w:t>
                  </w:r>
                  <w:proofErr w:type="spellEnd"/>
                  <w:r w:rsidRPr="00086328">
                    <w:rPr>
                      <w:b/>
                    </w:rPr>
                    <w:t xml:space="preserve"> 8500</w:t>
                  </w:r>
                  <w:r w:rsidRPr="00B378A4">
                    <w:t xml:space="preserve"> pulse oximeter with adult soft sensor</w:t>
                  </w:r>
                </w:p>
                <w:p w14:paraId="5E922C73" w14:textId="77777777" w:rsidR="00167B12" w:rsidRDefault="00167B12" w:rsidP="00E139CB">
                  <w:pPr>
                    <w:rPr>
                      <w:b/>
                    </w:rPr>
                  </w:pPr>
                </w:p>
                <w:p w14:paraId="28C030A3" w14:textId="77777777" w:rsidR="00167B12" w:rsidRDefault="00167B12" w:rsidP="00E139CB">
                  <w:proofErr w:type="spellStart"/>
                  <w:r w:rsidRPr="00086328">
                    <w:rPr>
                      <w:b/>
                    </w:rPr>
                    <w:t>Nonin</w:t>
                  </w:r>
                  <w:proofErr w:type="spellEnd"/>
                  <w:r w:rsidRPr="00423862">
                    <w:t xml:space="preserve"> Infant Reusable Flex Sensor</w:t>
                  </w:r>
                  <w:r w:rsidRPr="00423862">
                    <w:rPr>
                      <w:b/>
                    </w:rPr>
                    <w:t xml:space="preserve"> 8008J</w:t>
                  </w:r>
                  <w:r w:rsidRPr="00423862">
                    <w:t xml:space="preserve"> (1m cable). Includes a pack of 25 </w:t>
                  </w:r>
                  <w:proofErr w:type="spellStart"/>
                  <w:r w:rsidRPr="00423862">
                    <w:t>FlexiWraps</w:t>
                  </w:r>
                  <w:proofErr w:type="spellEnd"/>
                </w:p>
              </w:tc>
              <w:tc>
                <w:tcPr>
                  <w:tcW w:w="1134" w:type="dxa"/>
                  <w:vMerge w:val="restart"/>
                </w:tcPr>
                <w:p w14:paraId="7016B687" w14:textId="6FC89775" w:rsidR="00167B12" w:rsidRDefault="00167B12" w:rsidP="00E139CB">
                  <w:r w:rsidRPr="00460F58">
                    <w:t>£</w:t>
                  </w:r>
                  <w:r>
                    <w:t>349</w:t>
                  </w:r>
                </w:p>
                <w:p w14:paraId="326546AA" w14:textId="77777777" w:rsidR="00167B12" w:rsidRDefault="00167B12" w:rsidP="00E139CB"/>
                <w:p w14:paraId="7254B7B4" w14:textId="77777777" w:rsidR="00167B12" w:rsidRDefault="00167B12" w:rsidP="00E139CB"/>
                <w:p w14:paraId="37186D53" w14:textId="77777777" w:rsidR="00167B12" w:rsidRDefault="00167B12" w:rsidP="00E139CB"/>
                <w:p w14:paraId="3F26E996" w14:textId="721130B3" w:rsidR="00167B12" w:rsidRDefault="00167B12" w:rsidP="00E139CB">
                  <w:r w:rsidRPr="00460F58">
                    <w:t>£</w:t>
                  </w:r>
                  <w:r>
                    <w:t>82.95</w:t>
                  </w:r>
                </w:p>
              </w:tc>
              <w:tc>
                <w:tcPr>
                  <w:tcW w:w="1276" w:type="dxa"/>
                  <w:vMerge w:val="restart"/>
                </w:tcPr>
                <w:p w14:paraId="52DBF090" w14:textId="77777777" w:rsidR="00167B12" w:rsidRDefault="00167B12" w:rsidP="00E139CB">
                  <w:r>
                    <w:t xml:space="preserve">One pack of </w:t>
                  </w:r>
                  <w:proofErr w:type="spellStart"/>
                  <w:r>
                    <w:t>FlexiWraps</w:t>
                  </w:r>
                  <w:proofErr w:type="spellEnd"/>
                  <w:r>
                    <w:t xml:space="preserve"> is included for free. GPs can reorder additional packs for #13.16 per pack as required</w:t>
                  </w:r>
                </w:p>
              </w:tc>
              <w:tc>
                <w:tcPr>
                  <w:tcW w:w="1417" w:type="dxa"/>
                </w:tcPr>
                <w:p w14:paraId="5AA8B2AE" w14:textId="77777777" w:rsidR="00167B12" w:rsidRDefault="00167B12" w:rsidP="00E139CB">
                  <w:r w:rsidRPr="00423862">
                    <w:t>135</w:t>
                  </w:r>
                  <w:r w:rsidRPr="00423862">
                    <w:rPr>
                      <w:b/>
                    </w:rPr>
                    <w:t>*</w:t>
                  </w:r>
                  <w:r w:rsidRPr="00423862">
                    <w:t xml:space="preserve"> (2 for small practices, 3 for large)</w:t>
                  </w:r>
                </w:p>
              </w:tc>
              <w:tc>
                <w:tcPr>
                  <w:tcW w:w="1560" w:type="dxa"/>
                </w:tcPr>
                <w:p w14:paraId="14DBAC68" w14:textId="77777777" w:rsidR="00167B12" w:rsidRPr="00086328" w:rsidRDefault="00167B12" w:rsidP="00E139CB">
                  <w:r w:rsidRPr="00086328">
                    <w:t>35% for the oximeter, 20% for the sensor</w:t>
                  </w:r>
                </w:p>
              </w:tc>
              <w:tc>
                <w:tcPr>
                  <w:tcW w:w="1678" w:type="dxa"/>
                </w:tcPr>
                <w:p w14:paraId="4A71DA89" w14:textId="77777777" w:rsidR="00167B12" w:rsidRPr="00086328" w:rsidRDefault="00167B12" w:rsidP="00E139CB">
                  <w:pPr>
                    <w:rPr>
                      <w:b/>
                    </w:rPr>
                  </w:pPr>
                  <w:r w:rsidRPr="00086328">
                    <w:rPr>
                      <w:b/>
                    </w:rPr>
                    <w:t>£47,500.02</w:t>
                  </w:r>
                </w:p>
              </w:tc>
            </w:tr>
            <w:tr w:rsidR="00167B12" w14:paraId="3D6EDAA9" w14:textId="77777777" w:rsidTr="00167B12">
              <w:trPr>
                <w:trHeight w:val="1040"/>
              </w:trPr>
              <w:tc>
                <w:tcPr>
                  <w:tcW w:w="1725" w:type="dxa"/>
                  <w:vMerge/>
                </w:tcPr>
                <w:p w14:paraId="1425A0A5" w14:textId="77777777" w:rsidR="00167B12" w:rsidRPr="00B378A4" w:rsidRDefault="00167B12" w:rsidP="00E139CB"/>
              </w:tc>
              <w:tc>
                <w:tcPr>
                  <w:tcW w:w="1134" w:type="dxa"/>
                  <w:vMerge/>
                </w:tcPr>
                <w:p w14:paraId="02909F7B" w14:textId="77777777" w:rsidR="00167B12" w:rsidRDefault="00167B12" w:rsidP="00E139CB"/>
              </w:tc>
              <w:tc>
                <w:tcPr>
                  <w:tcW w:w="1276" w:type="dxa"/>
                  <w:vMerge/>
                </w:tcPr>
                <w:p w14:paraId="0142D461" w14:textId="77777777" w:rsidR="00167B12" w:rsidRDefault="00167B12" w:rsidP="00E139CB"/>
              </w:tc>
              <w:tc>
                <w:tcPr>
                  <w:tcW w:w="1417" w:type="dxa"/>
                </w:tcPr>
                <w:p w14:paraId="7BDA4489" w14:textId="77777777" w:rsidR="00167B12" w:rsidRDefault="00167B12" w:rsidP="00E139CB">
                  <w:r w:rsidRPr="00423862">
                    <w:t>83 (1 for small practices, 2 for large)</w:t>
                  </w:r>
                </w:p>
              </w:tc>
              <w:tc>
                <w:tcPr>
                  <w:tcW w:w="1560" w:type="dxa"/>
                </w:tcPr>
                <w:p w14:paraId="7F842E8D" w14:textId="77777777" w:rsidR="00167B12" w:rsidRPr="00086328" w:rsidRDefault="00167B12" w:rsidP="00E139CB">
                  <w:r w:rsidRPr="00086328">
                    <w:t>30% for the oximeter, 20% for the sensor</w:t>
                  </w:r>
                </w:p>
              </w:tc>
              <w:tc>
                <w:tcPr>
                  <w:tcW w:w="1678" w:type="dxa"/>
                </w:tcPr>
                <w:p w14:paraId="0CFACEE3" w14:textId="77777777" w:rsidR="00167B12" w:rsidRPr="00086328" w:rsidRDefault="00167B12" w:rsidP="00E139CB">
                  <w:pPr>
                    <w:rPr>
                      <w:b/>
                    </w:rPr>
                  </w:pPr>
                  <w:r w:rsidRPr="00086328">
                    <w:rPr>
                      <w:b/>
                    </w:rPr>
                    <w:t>£30,941.76</w:t>
                  </w:r>
                </w:p>
                <w:p w14:paraId="0CDF9117" w14:textId="77777777" w:rsidR="00167B12" w:rsidRPr="00086328" w:rsidRDefault="00167B12" w:rsidP="00E139CB">
                  <w:pPr>
                    <w:jc w:val="center"/>
                    <w:rPr>
                      <w:b/>
                    </w:rPr>
                  </w:pPr>
                </w:p>
              </w:tc>
            </w:tr>
            <w:tr w:rsidR="00E139CB" w14:paraId="641CA12A" w14:textId="77777777" w:rsidTr="00167B12">
              <w:trPr>
                <w:trHeight w:val="1177"/>
              </w:trPr>
              <w:tc>
                <w:tcPr>
                  <w:tcW w:w="1725" w:type="dxa"/>
                  <w:vMerge/>
                </w:tcPr>
                <w:p w14:paraId="30824B81" w14:textId="77777777" w:rsidR="00E139CB" w:rsidRPr="00B378A4" w:rsidRDefault="00E139CB" w:rsidP="00E139CB"/>
              </w:tc>
              <w:tc>
                <w:tcPr>
                  <w:tcW w:w="1134" w:type="dxa"/>
                  <w:vMerge/>
                </w:tcPr>
                <w:p w14:paraId="119771E7" w14:textId="77777777" w:rsidR="00E139CB" w:rsidRDefault="00E139CB" w:rsidP="00E139CB"/>
              </w:tc>
              <w:tc>
                <w:tcPr>
                  <w:tcW w:w="1276" w:type="dxa"/>
                  <w:vMerge/>
                </w:tcPr>
                <w:p w14:paraId="79F95CD1" w14:textId="77777777" w:rsidR="00E139CB" w:rsidRDefault="00E139CB" w:rsidP="00E139CB"/>
              </w:tc>
              <w:tc>
                <w:tcPr>
                  <w:tcW w:w="1417" w:type="dxa"/>
                </w:tcPr>
                <w:p w14:paraId="6E6ABD14" w14:textId="77777777" w:rsidR="00E139CB" w:rsidRDefault="00E139CB" w:rsidP="00E139CB">
                  <w:r w:rsidRPr="00423862">
                    <w:t>54 (1 for small practices, 1 for large)</w:t>
                  </w:r>
                </w:p>
              </w:tc>
              <w:tc>
                <w:tcPr>
                  <w:tcW w:w="1560" w:type="dxa"/>
                </w:tcPr>
                <w:p w14:paraId="0FE48B8D" w14:textId="77777777" w:rsidR="00E139CB" w:rsidRPr="00086328" w:rsidRDefault="00E139CB" w:rsidP="00E139CB">
                  <w:r w:rsidRPr="00086328">
                    <w:t>25% for the oximeter, 20% for the sensor</w:t>
                  </w:r>
                </w:p>
              </w:tc>
              <w:tc>
                <w:tcPr>
                  <w:tcW w:w="1678" w:type="dxa"/>
                </w:tcPr>
                <w:p w14:paraId="4DCA4743" w14:textId="77777777" w:rsidR="00E139CB" w:rsidRPr="00086328" w:rsidRDefault="00E139CB" w:rsidP="00925B41">
                  <w:pPr>
                    <w:rPr>
                      <w:b/>
                    </w:rPr>
                  </w:pPr>
                  <w:r w:rsidRPr="00086328">
                    <w:rPr>
                      <w:b/>
                    </w:rPr>
                    <w:t>£20,130.57</w:t>
                  </w:r>
                </w:p>
              </w:tc>
            </w:tr>
            <w:tr w:rsidR="00E139CB" w14:paraId="7869A5CE" w14:textId="77777777" w:rsidTr="00167B12">
              <w:trPr>
                <w:trHeight w:val="1041"/>
              </w:trPr>
              <w:tc>
                <w:tcPr>
                  <w:tcW w:w="1725" w:type="dxa"/>
                  <w:vMerge w:val="restart"/>
                </w:tcPr>
                <w:p w14:paraId="395FC191" w14:textId="48285E30" w:rsidR="00E139CB" w:rsidRDefault="00E139CB" w:rsidP="00E139CB">
                  <w:pPr>
                    <w:spacing w:after="0"/>
                  </w:pPr>
                  <w:proofErr w:type="spellStart"/>
                  <w:r w:rsidRPr="00086328">
                    <w:rPr>
                      <w:b/>
                    </w:rPr>
                    <w:t>Masimo</w:t>
                  </w:r>
                  <w:proofErr w:type="spellEnd"/>
                  <w:r w:rsidRPr="00086328">
                    <w:rPr>
                      <w:b/>
                    </w:rPr>
                    <w:t xml:space="preserve"> Rad-5v</w:t>
                  </w:r>
                  <w:r>
                    <w:t xml:space="preserve"> oximeter with adult finger probe</w:t>
                  </w:r>
                  <w:r>
                    <w:br/>
                  </w:r>
                </w:p>
                <w:p w14:paraId="2991B470" w14:textId="7FD0180E" w:rsidR="00E139CB" w:rsidRDefault="00086328" w:rsidP="00E139CB">
                  <w:pPr>
                    <w:spacing w:after="0"/>
                  </w:pPr>
                  <w:proofErr w:type="spellStart"/>
                  <w:r w:rsidRPr="00086328">
                    <w:rPr>
                      <w:b/>
                    </w:rPr>
                    <w:t>Masimo</w:t>
                  </w:r>
                  <w:proofErr w:type="spellEnd"/>
                  <w:r>
                    <w:t xml:space="preserve"> </w:t>
                  </w:r>
                  <w:r w:rsidR="00E139CB">
                    <w:t>LNCS YI Reusable sensor</w:t>
                  </w:r>
                  <w:r w:rsidR="00E139CB">
                    <w:br/>
                  </w:r>
                </w:p>
                <w:p w14:paraId="55C40195" w14:textId="77777777" w:rsidR="00E139CB" w:rsidRDefault="00E139CB" w:rsidP="002869EF">
                  <w:pPr>
                    <w:spacing w:after="0"/>
                  </w:pPr>
                  <w:r>
                    <w:t>12 Foam Wraps</w:t>
                  </w:r>
                </w:p>
              </w:tc>
              <w:tc>
                <w:tcPr>
                  <w:tcW w:w="1134" w:type="dxa"/>
                  <w:vMerge w:val="restart"/>
                </w:tcPr>
                <w:p w14:paraId="5B7D8340" w14:textId="1CB8F3BC" w:rsidR="00E139CB" w:rsidRDefault="002869EF" w:rsidP="00E139CB">
                  <w:pPr>
                    <w:spacing w:after="0"/>
                  </w:pPr>
                  <w:r w:rsidRPr="00460F58">
                    <w:t>£</w:t>
                  </w:r>
                  <w:r w:rsidR="00E139CB">
                    <w:t>550</w:t>
                  </w:r>
                </w:p>
                <w:p w14:paraId="79210B15" w14:textId="77777777" w:rsidR="00E139CB" w:rsidRDefault="00E139CB" w:rsidP="00E139CB">
                  <w:pPr>
                    <w:spacing w:after="0"/>
                  </w:pPr>
                </w:p>
                <w:p w14:paraId="03B326DC" w14:textId="77777777" w:rsidR="00E139CB" w:rsidRDefault="00E139CB" w:rsidP="00E139CB">
                  <w:pPr>
                    <w:spacing w:after="0"/>
                  </w:pPr>
                </w:p>
                <w:p w14:paraId="0AE66DB6" w14:textId="77777777" w:rsidR="00E139CB" w:rsidRDefault="00E139CB" w:rsidP="00E139CB">
                  <w:pPr>
                    <w:spacing w:after="0"/>
                  </w:pPr>
                </w:p>
                <w:p w14:paraId="450BA3E7" w14:textId="77777777" w:rsidR="00E139CB" w:rsidRDefault="00E139CB" w:rsidP="00E139CB">
                  <w:pPr>
                    <w:spacing w:after="0"/>
                  </w:pPr>
                </w:p>
                <w:p w14:paraId="6A9BA504" w14:textId="552E182A" w:rsidR="00E139CB" w:rsidRDefault="002869EF" w:rsidP="00E139CB">
                  <w:pPr>
                    <w:spacing w:after="0"/>
                  </w:pPr>
                  <w:r w:rsidRPr="00460F58">
                    <w:t>£</w:t>
                  </w:r>
                  <w:r w:rsidR="00E139CB">
                    <w:t>170</w:t>
                  </w:r>
                </w:p>
                <w:p w14:paraId="70166AF5" w14:textId="77777777" w:rsidR="00E139CB" w:rsidRDefault="00E139CB" w:rsidP="00E139CB">
                  <w:pPr>
                    <w:spacing w:after="0"/>
                  </w:pPr>
                </w:p>
                <w:p w14:paraId="27123769" w14:textId="77777777" w:rsidR="00E139CB" w:rsidRDefault="00E139CB" w:rsidP="00E139CB">
                  <w:pPr>
                    <w:spacing w:after="0"/>
                  </w:pPr>
                </w:p>
                <w:p w14:paraId="00E47B1C" w14:textId="77777777" w:rsidR="00E139CB" w:rsidRDefault="00E139CB" w:rsidP="00E139CB">
                  <w:pPr>
                    <w:spacing w:after="0"/>
                  </w:pPr>
                </w:p>
                <w:p w14:paraId="010634E7" w14:textId="04BC1F47" w:rsidR="00E139CB" w:rsidRDefault="002869EF" w:rsidP="002869EF">
                  <w:pPr>
                    <w:spacing w:after="0"/>
                  </w:pPr>
                  <w:r w:rsidRPr="00460F58">
                    <w:t>£</w:t>
                  </w:r>
                  <w:r w:rsidR="00E139CB">
                    <w:t>16</w:t>
                  </w:r>
                </w:p>
              </w:tc>
              <w:tc>
                <w:tcPr>
                  <w:tcW w:w="1276" w:type="dxa"/>
                  <w:vMerge w:val="restart"/>
                </w:tcPr>
                <w:p w14:paraId="662836E4" w14:textId="5DFF7F1D" w:rsidR="00E139CB" w:rsidRDefault="002869EF" w:rsidP="002869EF">
                  <w:r>
                    <w:t>First pack of wraps not included</w:t>
                  </w:r>
                </w:p>
              </w:tc>
              <w:tc>
                <w:tcPr>
                  <w:tcW w:w="1417" w:type="dxa"/>
                </w:tcPr>
                <w:p w14:paraId="2FCEB2C7" w14:textId="43495701" w:rsidR="00E139CB" w:rsidRDefault="002869EF" w:rsidP="00E139CB">
                  <w:r>
                    <w:t>137</w:t>
                  </w:r>
                  <w:r w:rsidRPr="00423862">
                    <w:rPr>
                      <w:b/>
                    </w:rPr>
                    <w:t>*</w:t>
                  </w:r>
                  <w:r w:rsidRPr="00423862">
                    <w:t xml:space="preserve"> (2 for small practices, 3 for large)</w:t>
                  </w:r>
                </w:p>
              </w:tc>
              <w:tc>
                <w:tcPr>
                  <w:tcW w:w="1560" w:type="dxa"/>
                </w:tcPr>
                <w:p w14:paraId="27AD5B74" w14:textId="55DAAEF5" w:rsidR="00E139CB" w:rsidRDefault="002869EF" w:rsidP="002869EF">
                  <w:pPr>
                    <w:spacing w:after="0"/>
                  </w:pPr>
                  <w:r>
                    <w:t>40% for the oximeter, 30% for the sensor</w:t>
                  </w:r>
                </w:p>
              </w:tc>
              <w:tc>
                <w:tcPr>
                  <w:tcW w:w="1678" w:type="dxa"/>
                </w:tcPr>
                <w:p w14:paraId="409A3ED7" w14:textId="12D63B3E" w:rsidR="00E139CB" w:rsidRPr="00086328" w:rsidRDefault="002869EF" w:rsidP="00E139CB">
                  <w:pPr>
                    <w:rPr>
                      <w:b/>
                    </w:rPr>
                  </w:pPr>
                  <w:r w:rsidRPr="00086328">
                    <w:rPr>
                      <w:b/>
                    </w:rPr>
                    <w:t>£74,473.20</w:t>
                  </w:r>
                </w:p>
              </w:tc>
            </w:tr>
            <w:tr w:rsidR="00E139CB" w14:paraId="12378C04" w14:textId="77777777" w:rsidTr="00167B12">
              <w:trPr>
                <w:trHeight w:val="1029"/>
              </w:trPr>
              <w:tc>
                <w:tcPr>
                  <w:tcW w:w="1725" w:type="dxa"/>
                  <w:vMerge/>
                </w:tcPr>
                <w:p w14:paraId="080AB8AA" w14:textId="77777777" w:rsidR="00E139CB" w:rsidRDefault="00E139CB" w:rsidP="00E139CB">
                  <w:pPr>
                    <w:spacing w:after="0"/>
                  </w:pPr>
                </w:p>
              </w:tc>
              <w:tc>
                <w:tcPr>
                  <w:tcW w:w="1134" w:type="dxa"/>
                  <w:vMerge/>
                </w:tcPr>
                <w:p w14:paraId="1E5B09BB" w14:textId="77777777" w:rsidR="00E139CB" w:rsidRDefault="00E139CB" w:rsidP="00E139CB">
                  <w:pPr>
                    <w:spacing w:after="0"/>
                  </w:pPr>
                </w:p>
              </w:tc>
              <w:tc>
                <w:tcPr>
                  <w:tcW w:w="1276" w:type="dxa"/>
                  <w:vMerge/>
                </w:tcPr>
                <w:p w14:paraId="259118B6" w14:textId="77777777" w:rsidR="00E139CB" w:rsidRDefault="00E139CB" w:rsidP="00E139CB"/>
              </w:tc>
              <w:tc>
                <w:tcPr>
                  <w:tcW w:w="1417" w:type="dxa"/>
                </w:tcPr>
                <w:p w14:paraId="4A6DC66C" w14:textId="2089023C" w:rsidR="00E139CB" w:rsidRDefault="002869EF" w:rsidP="002869EF">
                  <w:pPr>
                    <w:spacing w:after="0"/>
                  </w:pPr>
                  <w:r w:rsidRPr="00423862">
                    <w:t>83 (1 for small practices, 2 for large)</w:t>
                  </w:r>
                </w:p>
              </w:tc>
              <w:tc>
                <w:tcPr>
                  <w:tcW w:w="1560" w:type="dxa"/>
                </w:tcPr>
                <w:p w14:paraId="706201EF" w14:textId="01D3EB6E" w:rsidR="00E139CB" w:rsidRDefault="002869EF" w:rsidP="002869EF">
                  <w:pPr>
                    <w:spacing w:after="0"/>
                  </w:pPr>
                  <w:r>
                    <w:t>40% for the oximeter, 30% for the sensor</w:t>
                  </w:r>
                </w:p>
              </w:tc>
              <w:tc>
                <w:tcPr>
                  <w:tcW w:w="1678" w:type="dxa"/>
                </w:tcPr>
                <w:p w14:paraId="7AF132D2" w14:textId="2D7EB650" w:rsidR="00E139CB" w:rsidRPr="00086328" w:rsidRDefault="002869EF" w:rsidP="00E139CB">
                  <w:pPr>
                    <w:rPr>
                      <w:b/>
                    </w:rPr>
                  </w:pPr>
                  <w:r w:rsidRPr="00086328">
                    <w:rPr>
                      <w:b/>
                    </w:rPr>
                    <w:t>£47,061.00</w:t>
                  </w:r>
                </w:p>
              </w:tc>
            </w:tr>
            <w:tr w:rsidR="00E139CB" w14:paraId="02A00D94" w14:textId="77777777" w:rsidTr="00167B12">
              <w:trPr>
                <w:trHeight w:val="987"/>
              </w:trPr>
              <w:tc>
                <w:tcPr>
                  <w:tcW w:w="1725" w:type="dxa"/>
                  <w:vMerge/>
                </w:tcPr>
                <w:p w14:paraId="78033451" w14:textId="77777777" w:rsidR="00E139CB" w:rsidRDefault="00E139CB" w:rsidP="00E139CB">
                  <w:pPr>
                    <w:spacing w:after="0"/>
                  </w:pPr>
                </w:p>
              </w:tc>
              <w:tc>
                <w:tcPr>
                  <w:tcW w:w="1134" w:type="dxa"/>
                  <w:vMerge/>
                </w:tcPr>
                <w:p w14:paraId="2DFAF07A" w14:textId="77777777" w:rsidR="00E139CB" w:rsidRDefault="00E139CB" w:rsidP="00E139CB">
                  <w:pPr>
                    <w:spacing w:after="0"/>
                  </w:pPr>
                </w:p>
              </w:tc>
              <w:tc>
                <w:tcPr>
                  <w:tcW w:w="1276" w:type="dxa"/>
                  <w:vMerge/>
                </w:tcPr>
                <w:p w14:paraId="0EE84546" w14:textId="77777777" w:rsidR="00E139CB" w:rsidRDefault="00E139CB" w:rsidP="00E139CB"/>
              </w:tc>
              <w:tc>
                <w:tcPr>
                  <w:tcW w:w="1417" w:type="dxa"/>
                </w:tcPr>
                <w:p w14:paraId="7FB656CF" w14:textId="32252B75" w:rsidR="00E139CB" w:rsidRDefault="002869EF" w:rsidP="002869EF">
                  <w:pPr>
                    <w:spacing w:after="0"/>
                  </w:pPr>
                  <w:r w:rsidRPr="00423862">
                    <w:t>54 (1 for small practices, 1 for large)</w:t>
                  </w:r>
                </w:p>
              </w:tc>
              <w:tc>
                <w:tcPr>
                  <w:tcW w:w="1560" w:type="dxa"/>
                </w:tcPr>
                <w:p w14:paraId="112D2EE0" w14:textId="4997A385" w:rsidR="00E139CB" w:rsidRDefault="00925B41" w:rsidP="00E139CB">
                  <w:r>
                    <w:t>35% for the oximeter, 30% for the sensor</w:t>
                  </w:r>
                </w:p>
              </w:tc>
              <w:tc>
                <w:tcPr>
                  <w:tcW w:w="1678" w:type="dxa"/>
                </w:tcPr>
                <w:p w14:paraId="0D6BFB9A" w14:textId="4781521D" w:rsidR="00E139CB" w:rsidRDefault="00925B41" w:rsidP="00E139CB">
                  <w:r w:rsidRPr="00086328">
                    <w:rPr>
                      <w:b/>
                    </w:rPr>
                    <w:t>£</w:t>
                  </w:r>
                  <w:r>
                    <w:rPr>
                      <w:b/>
                    </w:rPr>
                    <w:t>31,914.00</w:t>
                  </w:r>
                </w:p>
              </w:tc>
            </w:tr>
          </w:tbl>
          <w:p w14:paraId="016CA1C5" w14:textId="77777777" w:rsidR="00086328" w:rsidRDefault="00086328" w:rsidP="00086328">
            <w:pPr>
              <w:pStyle w:val="Tableprompt"/>
              <w:rPr>
                <w:b w:val="0"/>
              </w:rPr>
            </w:pPr>
            <w:r w:rsidRPr="00086328">
              <w:rPr>
                <w:b w:val="0"/>
              </w:rPr>
              <w:t>*</w:t>
            </w:r>
            <w:r>
              <w:t xml:space="preserve"> </w:t>
            </w:r>
            <w:r w:rsidRPr="00C93DBD">
              <w:rPr>
                <w:b w:val="0"/>
              </w:rPr>
              <w:t xml:space="preserve">*the original figure is 137 units however 2 GP practices already use this model and would not require a new unit. </w:t>
            </w:r>
          </w:p>
          <w:p w14:paraId="2B762A06" w14:textId="6F36F428" w:rsidR="00086328" w:rsidRPr="00086328" w:rsidRDefault="00086328" w:rsidP="00086328">
            <w:pPr>
              <w:pStyle w:val="Tableprompt"/>
              <w:rPr>
                <w:b w:val="0"/>
              </w:rPr>
            </w:pPr>
            <w:r w:rsidRPr="00086328">
              <w:rPr>
                <w:rFonts w:eastAsiaTheme="minorEastAsia"/>
                <w:b w:val="0"/>
                <w:noProof/>
                <w:lang w:eastAsia="en-GB"/>
              </w:rPr>
              <w:t>It is anticipated there is potential for cost savings throughout the system from the reduction of inappropriate referrals due to falsely low saturation readings. However further analysis is requried to fully understand the implications of this.</w:t>
            </w:r>
          </w:p>
          <w:p w14:paraId="1E0C81AF" w14:textId="055FF525" w:rsidR="00B378A4" w:rsidRDefault="00B378A4" w:rsidP="00086328">
            <w:pPr>
              <w:pStyle w:val="Tableprompt"/>
            </w:pPr>
          </w:p>
        </w:tc>
      </w:tr>
    </w:tbl>
    <w:p w14:paraId="4FA2554B" w14:textId="77777777" w:rsidR="00AE0C5D" w:rsidRDefault="00AE0C5D" w:rsidP="00AC38BF">
      <w:pPr>
        <w:pStyle w:val="NoSpacing"/>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9242"/>
      </w:tblGrid>
      <w:tr w:rsidR="00AE0C5D" w:rsidRPr="00AC38BF" w14:paraId="20D4308A" w14:textId="77777777" w:rsidTr="00DC5D22">
        <w:trPr>
          <w:trHeight w:val="113"/>
        </w:trPr>
        <w:tc>
          <w:tcPr>
            <w:tcW w:w="10682" w:type="dxa"/>
            <w:shd w:val="clear" w:color="auto" w:fill="auto"/>
          </w:tcPr>
          <w:p w14:paraId="1DD5741D" w14:textId="77777777" w:rsidR="00AE0C5D" w:rsidRPr="00AC38BF" w:rsidRDefault="00AE0C5D" w:rsidP="00DC5D22">
            <w:pPr>
              <w:pStyle w:val="Tableprompt"/>
            </w:pPr>
            <w:r w:rsidRPr="00AC38BF">
              <w:lastRenderedPageBreak/>
              <w:t>Equality / Human Rights / Privacy impact analysis</w:t>
            </w:r>
          </w:p>
        </w:tc>
      </w:tr>
      <w:tr w:rsidR="00AE0C5D" w:rsidRPr="00AC38BF" w14:paraId="290A5B77" w14:textId="77777777" w:rsidTr="00DC5D22">
        <w:trPr>
          <w:trHeight w:val="340"/>
        </w:trPr>
        <w:tc>
          <w:tcPr>
            <w:tcW w:w="10682" w:type="dxa"/>
            <w:shd w:val="clear" w:color="auto" w:fill="auto"/>
          </w:tcPr>
          <w:p w14:paraId="0756D3DC" w14:textId="77777777" w:rsidR="00AE0C5D" w:rsidRPr="00AC38BF" w:rsidRDefault="00AE0C5D" w:rsidP="00DC5D22"/>
        </w:tc>
      </w:tr>
    </w:tbl>
    <w:p w14:paraId="21AEECFF" w14:textId="77777777" w:rsidR="00AE0C5D" w:rsidRDefault="00AE0C5D" w:rsidP="00AC38BF">
      <w:pPr>
        <w:pStyle w:val="NoSpacing"/>
      </w:pPr>
    </w:p>
    <w:p w14:paraId="4EC6C8CE" w14:textId="77777777" w:rsidR="00AE0C5D" w:rsidRPr="00AC38BF" w:rsidRDefault="00AE0C5D" w:rsidP="00AC38BF">
      <w:pPr>
        <w:pStyle w:val="NoSpacing"/>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621"/>
        <w:gridCol w:w="4621"/>
      </w:tblGrid>
      <w:tr w:rsidR="005F4473" w:rsidRPr="00AC38BF" w14:paraId="2519FB3F" w14:textId="77777777" w:rsidTr="00140E46">
        <w:trPr>
          <w:trHeight w:val="57"/>
        </w:trPr>
        <w:tc>
          <w:tcPr>
            <w:tcW w:w="4621" w:type="dxa"/>
            <w:shd w:val="clear" w:color="auto" w:fill="auto"/>
          </w:tcPr>
          <w:p w14:paraId="36D3FEBD" w14:textId="77777777" w:rsidR="005F4473" w:rsidRPr="00AC38BF" w:rsidRDefault="005F4473" w:rsidP="00AC38BF">
            <w:pPr>
              <w:pStyle w:val="Tableprompt"/>
            </w:pPr>
            <w:r w:rsidRPr="00AC38BF">
              <w:t>Risk</w:t>
            </w:r>
          </w:p>
        </w:tc>
        <w:tc>
          <w:tcPr>
            <w:tcW w:w="4621" w:type="dxa"/>
            <w:shd w:val="clear" w:color="auto" w:fill="auto"/>
          </w:tcPr>
          <w:p w14:paraId="7DE0689B" w14:textId="77777777" w:rsidR="005F4473" w:rsidRPr="00AC38BF" w:rsidRDefault="005F4473" w:rsidP="00AC38BF">
            <w:pPr>
              <w:pStyle w:val="Tableprompt"/>
            </w:pPr>
            <w:r w:rsidRPr="00AC38BF">
              <w:t>Mitigating actions</w:t>
            </w:r>
          </w:p>
        </w:tc>
      </w:tr>
      <w:tr w:rsidR="005F4473" w:rsidRPr="00AC38BF" w14:paraId="3441106C" w14:textId="77777777" w:rsidTr="00140E46">
        <w:trPr>
          <w:trHeight w:val="20"/>
        </w:trPr>
        <w:tc>
          <w:tcPr>
            <w:tcW w:w="4621" w:type="dxa"/>
            <w:shd w:val="clear" w:color="auto" w:fill="auto"/>
          </w:tcPr>
          <w:p w14:paraId="70C859F4" w14:textId="77777777" w:rsidR="005F4473" w:rsidRPr="00AF7CFC" w:rsidRDefault="0052724E" w:rsidP="00AF7CFC">
            <w:pPr>
              <w:rPr>
                <w:sz w:val="20"/>
              </w:rPr>
            </w:pPr>
            <w:r w:rsidRPr="00DF5D94">
              <w:t>There is a lack of comparative analysis of d</w:t>
            </w:r>
            <w:r>
              <w:t>ifferent pulse oximeter devices hindering a full comparison of different models</w:t>
            </w:r>
          </w:p>
        </w:tc>
        <w:tc>
          <w:tcPr>
            <w:tcW w:w="4621" w:type="dxa"/>
            <w:shd w:val="clear" w:color="auto" w:fill="auto"/>
          </w:tcPr>
          <w:p w14:paraId="512FDD13" w14:textId="77777777" w:rsidR="005F4473" w:rsidRPr="00AC38BF" w:rsidRDefault="0052724E" w:rsidP="0052724E">
            <w:pPr>
              <w:tabs>
                <w:tab w:val="left" w:pos="1571"/>
              </w:tabs>
            </w:pPr>
            <w:r w:rsidRPr="00DF5D94">
              <w:t>Close working with clinical leads to understand the advantages and disadvantages of each model</w:t>
            </w:r>
          </w:p>
        </w:tc>
      </w:tr>
      <w:tr w:rsidR="0052724E" w:rsidRPr="00AC38BF" w14:paraId="13FF0E47" w14:textId="77777777" w:rsidTr="00140E46">
        <w:trPr>
          <w:trHeight w:val="20"/>
        </w:trPr>
        <w:tc>
          <w:tcPr>
            <w:tcW w:w="4621" w:type="dxa"/>
            <w:shd w:val="clear" w:color="auto" w:fill="auto"/>
          </w:tcPr>
          <w:p w14:paraId="3F1FD600" w14:textId="77777777" w:rsidR="0052724E" w:rsidRPr="00AF7CFC" w:rsidRDefault="0052724E" w:rsidP="00AF7CFC">
            <w:pPr>
              <w:rPr>
                <w:sz w:val="20"/>
              </w:rPr>
            </w:pPr>
            <w:r w:rsidRPr="00DF5D94">
              <w:t>It is difficult to reliably compare and contrast equipment from a user perspective as most information is only available from the manufacturer and third-party sellers who provide a range of brands.</w:t>
            </w:r>
          </w:p>
        </w:tc>
        <w:tc>
          <w:tcPr>
            <w:tcW w:w="4621" w:type="dxa"/>
            <w:shd w:val="clear" w:color="auto" w:fill="auto"/>
          </w:tcPr>
          <w:p w14:paraId="4361A4E0" w14:textId="77777777" w:rsidR="0052724E" w:rsidRPr="00AC38BF" w:rsidRDefault="0052724E" w:rsidP="00AC38BF">
            <w:r>
              <w:t>Engagement with GPs and clinical leads to understand which equipment they have used and guide decision-making</w:t>
            </w:r>
          </w:p>
        </w:tc>
      </w:tr>
    </w:tbl>
    <w:p w14:paraId="3AD378A9" w14:textId="77777777" w:rsidR="00DB488F" w:rsidRPr="00AC38BF" w:rsidRDefault="00DB488F" w:rsidP="00AC38BF">
      <w:pPr>
        <w:pStyle w:val="NoSpacing"/>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42"/>
      </w:tblGrid>
      <w:tr w:rsidR="00DB488F" w:rsidRPr="00AC38BF" w14:paraId="76CB286D" w14:textId="77777777" w:rsidTr="00140E46">
        <w:trPr>
          <w:trHeight w:val="20"/>
        </w:trPr>
        <w:tc>
          <w:tcPr>
            <w:tcW w:w="10682" w:type="dxa"/>
            <w:shd w:val="clear" w:color="auto" w:fill="auto"/>
          </w:tcPr>
          <w:p w14:paraId="5DC8AE14" w14:textId="77777777" w:rsidR="00DB488F" w:rsidRPr="00AC38BF" w:rsidRDefault="00DB488F" w:rsidP="00AC38BF">
            <w:pPr>
              <w:pStyle w:val="Tableprompt"/>
            </w:pPr>
            <w:r w:rsidRPr="00AC38BF">
              <w:t>Supporting documents</w:t>
            </w:r>
          </w:p>
        </w:tc>
      </w:tr>
      <w:tr w:rsidR="00DB488F" w:rsidRPr="00AC38BF" w14:paraId="6A87271D" w14:textId="77777777" w:rsidTr="00140E46">
        <w:trPr>
          <w:trHeight w:val="20"/>
        </w:trPr>
        <w:tc>
          <w:tcPr>
            <w:tcW w:w="10682" w:type="dxa"/>
            <w:shd w:val="clear" w:color="auto" w:fill="auto"/>
          </w:tcPr>
          <w:p w14:paraId="6ADAE4C4" w14:textId="1D1AB418" w:rsidR="00A04B6C" w:rsidRPr="00AC38BF" w:rsidRDefault="00333525" w:rsidP="00333525">
            <w:r>
              <w:t xml:space="preserve">Analysis of Pulse Oximetry Models </w:t>
            </w:r>
          </w:p>
        </w:tc>
      </w:tr>
    </w:tbl>
    <w:p w14:paraId="5DF483BC" w14:textId="77777777" w:rsidR="00DB488F" w:rsidRPr="00AC38BF" w:rsidRDefault="00DB488F" w:rsidP="00AC38BF">
      <w:pPr>
        <w:pStyle w:val="NoSpacing"/>
      </w:pPr>
    </w:p>
    <w:tbl>
      <w:tblPr>
        <w:tblStyle w:val="TableGrid"/>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3051"/>
        <w:gridCol w:w="2259"/>
        <w:gridCol w:w="3932"/>
      </w:tblGrid>
      <w:tr w:rsidR="00DB488F" w:rsidRPr="00AC38BF" w14:paraId="23A6764B" w14:textId="77777777" w:rsidTr="00140E46">
        <w:trPr>
          <w:trHeight w:val="20"/>
        </w:trPr>
        <w:tc>
          <w:tcPr>
            <w:tcW w:w="5000" w:type="pct"/>
            <w:gridSpan w:val="3"/>
            <w:shd w:val="clear" w:color="auto" w:fill="auto"/>
          </w:tcPr>
          <w:p w14:paraId="086EBB56" w14:textId="77777777" w:rsidR="00F61338" w:rsidRPr="00AC38BF" w:rsidRDefault="00DB488F" w:rsidP="00AC38BF">
            <w:pPr>
              <w:rPr>
                <w:rStyle w:val="TablepromptChar"/>
              </w:rPr>
            </w:pPr>
            <w:r w:rsidRPr="00AC38BF">
              <w:rPr>
                <w:rStyle w:val="TablepromptChar"/>
              </w:rPr>
              <w:t>Governance and reporting</w:t>
            </w:r>
          </w:p>
          <w:p w14:paraId="1B158545" w14:textId="77777777" w:rsidR="00DB488F" w:rsidRPr="00AC38BF" w:rsidRDefault="00DB488F" w:rsidP="00AC38BF">
            <w:pPr>
              <w:rPr>
                <w:b/>
              </w:rPr>
            </w:pPr>
            <w:r w:rsidRPr="00AC38BF">
              <w:rPr>
                <w:u w:color="000000"/>
              </w:rPr>
              <w:t>(list com</w:t>
            </w:r>
            <w:r w:rsidR="00F61338" w:rsidRPr="00AC38BF">
              <w:rPr>
                <w:u w:color="000000"/>
              </w:rPr>
              <w:t>mittees, groups, other bodies in your CCG or other CCGs</w:t>
            </w:r>
            <w:r w:rsidRPr="00AC38BF">
              <w:rPr>
                <w:u w:color="000000"/>
              </w:rPr>
              <w:t xml:space="preserve"> that have discussed the paper)</w:t>
            </w:r>
          </w:p>
        </w:tc>
      </w:tr>
      <w:tr w:rsidR="00DB488F" w:rsidRPr="00AC38BF" w14:paraId="27264EFD" w14:textId="77777777" w:rsidTr="00140E46">
        <w:trPr>
          <w:trHeight w:val="20"/>
        </w:trPr>
        <w:tc>
          <w:tcPr>
            <w:tcW w:w="1651" w:type="pct"/>
            <w:shd w:val="clear" w:color="auto" w:fill="auto"/>
          </w:tcPr>
          <w:p w14:paraId="4414E700" w14:textId="77777777" w:rsidR="00DB488F" w:rsidRPr="00AC38BF" w:rsidRDefault="00DB488F" w:rsidP="00AC38BF">
            <w:pPr>
              <w:rPr>
                <w:u w:color="000000"/>
              </w:rPr>
            </w:pPr>
            <w:r w:rsidRPr="00AC38BF">
              <w:rPr>
                <w:u w:color="000000"/>
              </w:rPr>
              <w:t>Committee name</w:t>
            </w:r>
          </w:p>
        </w:tc>
        <w:tc>
          <w:tcPr>
            <w:tcW w:w="1222" w:type="pct"/>
            <w:shd w:val="clear" w:color="auto" w:fill="auto"/>
          </w:tcPr>
          <w:p w14:paraId="70EEB6FA" w14:textId="77777777" w:rsidR="00DB488F" w:rsidRPr="00AC38BF" w:rsidRDefault="00DB488F" w:rsidP="00AC38BF">
            <w:pPr>
              <w:rPr>
                <w:u w:color="000000"/>
              </w:rPr>
            </w:pPr>
            <w:r w:rsidRPr="00AC38BF">
              <w:rPr>
                <w:u w:color="000000"/>
              </w:rPr>
              <w:t>Date discussed</w:t>
            </w:r>
          </w:p>
        </w:tc>
        <w:tc>
          <w:tcPr>
            <w:tcW w:w="2127" w:type="pct"/>
            <w:shd w:val="clear" w:color="auto" w:fill="auto"/>
          </w:tcPr>
          <w:p w14:paraId="10EE75B5" w14:textId="77777777" w:rsidR="00DB488F" w:rsidRPr="00AC38BF" w:rsidRDefault="00DB488F" w:rsidP="00AC38BF">
            <w:pPr>
              <w:rPr>
                <w:u w:color="000000"/>
              </w:rPr>
            </w:pPr>
            <w:r w:rsidRPr="00AC38BF">
              <w:rPr>
                <w:u w:color="000000"/>
              </w:rPr>
              <w:t>Outcome</w:t>
            </w:r>
          </w:p>
        </w:tc>
      </w:tr>
      <w:tr w:rsidR="00DB488F" w:rsidRPr="00AC38BF" w14:paraId="5F67EC09" w14:textId="77777777" w:rsidTr="00140E46">
        <w:trPr>
          <w:trHeight w:val="113"/>
        </w:trPr>
        <w:tc>
          <w:tcPr>
            <w:tcW w:w="1651" w:type="pct"/>
          </w:tcPr>
          <w:p w14:paraId="03B0F62A" w14:textId="77777777" w:rsidR="00DB488F" w:rsidRPr="00AC38BF" w:rsidRDefault="00DB488F" w:rsidP="00AC38BF">
            <w:pPr>
              <w:rPr>
                <w:u w:color="000000"/>
              </w:rPr>
            </w:pPr>
            <w:r w:rsidRPr="00AC38BF">
              <w:rPr>
                <w:u w:color="000000"/>
              </w:rPr>
              <w:t>Name</w:t>
            </w:r>
          </w:p>
        </w:tc>
        <w:tc>
          <w:tcPr>
            <w:tcW w:w="1222" w:type="pct"/>
          </w:tcPr>
          <w:p w14:paraId="36E049DA" w14:textId="77777777" w:rsidR="00DB488F" w:rsidRPr="00AC38BF" w:rsidRDefault="00DB488F" w:rsidP="00AC38BF">
            <w:pPr>
              <w:rPr>
                <w:u w:color="000000"/>
              </w:rPr>
            </w:pPr>
            <w:r w:rsidRPr="00AC38BF">
              <w:rPr>
                <w:u w:color="000000"/>
              </w:rPr>
              <w:t>DD/MM/YYYY</w:t>
            </w:r>
          </w:p>
        </w:tc>
        <w:tc>
          <w:tcPr>
            <w:tcW w:w="2127" w:type="pct"/>
          </w:tcPr>
          <w:p w14:paraId="557E0A8F" w14:textId="77777777" w:rsidR="00DB488F" w:rsidRPr="00AC38BF" w:rsidRDefault="00DB488F" w:rsidP="00AC38BF">
            <w:pPr>
              <w:rPr>
                <w:u w:color="000000"/>
              </w:rPr>
            </w:pPr>
          </w:p>
        </w:tc>
      </w:tr>
      <w:tr w:rsidR="00DB488F" w:rsidRPr="00AC38BF" w14:paraId="2853AFAF" w14:textId="77777777" w:rsidTr="00140E46">
        <w:trPr>
          <w:trHeight w:val="20"/>
        </w:trPr>
        <w:tc>
          <w:tcPr>
            <w:tcW w:w="1651" w:type="pct"/>
          </w:tcPr>
          <w:p w14:paraId="30D6F82D" w14:textId="77777777" w:rsidR="00DB488F" w:rsidRPr="00AC38BF" w:rsidRDefault="00DB488F" w:rsidP="00AC38BF">
            <w:pPr>
              <w:rPr>
                <w:u w:color="000000"/>
              </w:rPr>
            </w:pPr>
          </w:p>
        </w:tc>
        <w:tc>
          <w:tcPr>
            <w:tcW w:w="1222" w:type="pct"/>
          </w:tcPr>
          <w:p w14:paraId="41FBA732" w14:textId="77777777" w:rsidR="00DB488F" w:rsidRPr="00AC38BF" w:rsidRDefault="00DB488F" w:rsidP="00AC38BF">
            <w:pPr>
              <w:rPr>
                <w:u w:color="000000"/>
              </w:rPr>
            </w:pPr>
          </w:p>
        </w:tc>
        <w:tc>
          <w:tcPr>
            <w:tcW w:w="2127" w:type="pct"/>
          </w:tcPr>
          <w:p w14:paraId="6E4A02A0" w14:textId="77777777" w:rsidR="00DB488F" w:rsidRPr="00AC38BF" w:rsidRDefault="00DB488F" w:rsidP="00AC38BF">
            <w:pPr>
              <w:rPr>
                <w:u w:color="000000"/>
              </w:rPr>
            </w:pPr>
          </w:p>
        </w:tc>
      </w:tr>
    </w:tbl>
    <w:p w14:paraId="2D879448" w14:textId="77777777" w:rsidR="00B54B20" w:rsidRDefault="00B54B20" w:rsidP="00AC38BF"/>
    <w:p w14:paraId="4550617A" w14:textId="77777777" w:rsidR="0052724E" w:rsidRDefault="0052724E" w:rsidP="00AC38BF"/>
    <w:p w14:paraId="37B85E90" w14:textId="77777777" w:rsidR="0052724E" w:rsidRDefault="0052724E" w:rsidP="00AC38BF"/>
    <w:p w14:paraId="37107A9A" w14:textId="77777777" w:rsidR="0052724E" w:rsidRDefault="0052724E" w:rsidP="00AC38BF"/>
    <w:p w14:paraId="0E3C39F1" w14:textId="77777777" w:rsidR="0052724E" w:rsidRDefault="0052724E" w:rsidP="00AC38BF"/>
    <w:p w14:paraId="37879DC8" w14:textId="77777777" w:rsidR="0052724E" w:rsidRDefault="0052724E" w:rsidP="00AC38BF"/>
    <w:p w14:paraId="68BCC337" w14:textId="77777777" w:rsidR="0052724E" w:rsidRDefault="0052724E" w:rsidP="00AC38BF"/>
    <w:p w14:paraId="2C9A12B6" w14:textId="77777777" w:rsidR="0052724E" w:rsidRDefault="0052724E" w:rsidP="00AC38BF"/>
    <w:p w14:paraId="2DCCA204" w14:textId="77777777" w:rsidR="0052724E" w:rsidRDefault="0052724E" w:rsidP="00AC38BF"/>
    <w:p w14:paraId="1E703B63" w14:textId="77777777" w:rsidR="0052724E" w:rsidRDefault="0052724E" w:rsidP="00AC38BF"/>
    <w:p w14:paraId="52A306D3" w14:textId="77777777" w:rsidR="0052724E" w:rsidRDefault="0052724E" w:rsidP="00AC38BF"/>
    <w:p w14:paraId="5349BFE4" w14:textId="77777777" w:rsidR="0052724E" w:rsidRDefault="0052724E" w:rsidP="00AC38BF"/>
    <w:p w14:paraId="6469FB60" w14:textId="77777777" w:rsidR="007C2136" w:rsidRDefault="007C2136" w:rsidP="0052724E">
      <w:pPr>
        <w:rPr>
          <w:b/>
        </w:rPr>
      </w:pPr>
    </w:p>
    <w:p w14:paraId="50DD8D22" w14:textId="77777777" w:rsidR="007C2136" w:rsidRDefault="007C2136" w:rsidP="0052724E">
      <w:pPr>
        <w:rPr>
          <w:b/>
        </w:rPr>
      </w:pPr>
    </w:p>
    <w:p w14:paraId="5E7C2379" w14:textId="77777777" w:rsidR="007C2136" w:rsidRDefault="007C2136" w:rsidP="0052724E">
      <w:pPr>
        <w:rPr>
          <w:b/>
        </w:rPr>
      </w:pPr>
    </w:p>
    <w:p w14:paraId="4F53759A" w14:textId="77777777" w:rsidR="0052724E" w:rsidRPr="003E534C" w:rsidRDefault="0052724E" w:rsidP="0052724E">
      <w:pPr>
        <w:rPr>
          <w:b/>
        </w:rPr>
      </w:pPr>
      <w:r w:rsidRPr="003E534C">
        <w:rPr>
          <w:b/>
        </w:rPr>
        <w:t>References</w:t>
      </w:r>
    </w:p>
    <w:p w14:paraId="4FD384BD" w14:textId="77777777" w:rsidR="0052724E" w:rsidRDefault="0052724E" w:rsidP="0052724E">
      <w:pPr>
        <w:pStyle w:val="ListParagraph"/>
        <w:numPr>
          <w:ilvl w:val="0"/>
          <w:numId w:val="18"/>
        </w:numPr>
        <w:spacing w:after="200"/>
      </w:pPr>
      <w:r>
        <w:rPr>
          <w:rStyle w:val="citation"/>
        </w:rPr>
        <w:t xml:space="preserve">BTS/SIGN (2014). </w:t>
      </w:r>
      <w:r w:rsidRPr="004B17CA">
        <w:rPr>
          <w:i/>
        </w:rPr>
        <w:t>BTS/SIGN British Guideline on the Management of Asthma, October 2014.</w:t>
      </w:r>
      <w:r>
        <w:t xml:space="preserve"> Available at: https://www.brit-thoracic.org.uk/document-library/clinical-information/asthma/btssign-asthma-guideline-2014/ [Full guideline]</w:t>
      </w:r>
    </w:p>
    <w:p w14:paraId="009820CE" w14:textId="77777777" w:rsidR="0052724E" w:rsidRPr="008F3100" w:rsidRDefault="0052724E" w:rsidP="0052724E">
      <w:pPr>
        <w:pStyle w:val="ListParagraph"/>
        <w:numPr>
          <w:ilvl w:val="0"/>
          <w:numId w:val="18"/>
        </w:numPr>
        <w:spacing w:after="200"/>
      </w:pPr>
      <w:proofErr w:type="spellStart"/>
      <w:r w:rsidRPr="008F3100">
        <w:t>Fouzas</w:t>
      </w:r>
      <w:proofErr w:type="spellEnd"/>
      <w:r w:rsidRPr="008F3100">
        <w:t xml:space="preserve"> S, </w:t>
      </w:r>
      <w:proofErr w:type="spellStart"/>
      <w:r w:rsidRPr="008F3100">
        <w:t>Priftis</w:t>
      </w:r>
      <w:proofErr w:type="spellEnd"/>
      <w:r w:rsidRPr="008F3100">
        <w:t xml:space="preserve"> KN, </w:t>
      </w:r>
      <w:proofErr w:type="spellStart"/>
      <w:r w:rsidRPr="008F3100">
        <w:t>Anthracopoulos</w:t>
      </w:r>
      <w:proofErr w:type="spellEnd"/>
      <w:r w:rsidRPr="008F3100">
        <w:t xml:space="preserve"> MB. Pulse oximetry in </w:t>
      </w:r>
      <w:proofErr w:type="spellStart"/>
      <w:r w:rsidRPr="008F3100">
        <w:t>pediatric</w:t>
      </w:r>
      <w:proofErr w:type="spellEnd"/>
      <w:r w:rsidRPr="008F3100">
        <w:t xml:space="preserve"> practice. </w:t>
      </w:r>
      <w:proofErr w:type="spellStart"/>
      <w:r w:rsidRPr="008F3100">
        <w:rPr>
          <w:i/>
          <w:iCs/>
        </w:rPr>
        <w:t>Pediatrics</w:t>
      </w:r>
      <w:proofErr w:type="spellEnd"/>
      <w:r w:rsidRPr="008F3100">
        <w:rPr>
          <w:i/>
          <w:iCs/>
        </w:rPr>
        <w:t xml:space="preserve"> </w:t>
      </w:r>
      <w:r>
        <w:t>2011; 128(4): 740-52.</w:t>
      </w:r>
    </w:p>
    <w:p w14:paraId="672F1FA7" w14:textId="77777777" w:rsidR="0052724E" w:rsidRPr="00512D77" w:rsidRDefault="0052724E" w:rsidP="0052724E">
      <w:pPr>
        <w:pStyle w:val="ListParagraph"/>
        <w:numPr>
          <w:ilvl w:val="0"/>
          <w:numId w:val="18"/>
        </w:numPr>
        <w:spacing w:after="200"/>
        <w:rPr>
          <w:rFonts w:cs="Lucida Sans Unicode"/>
        </w:rPr>
      </w:pPr>
      <w:r w:rsidRPr="000B131C">
        <w:rPr>
          <w:rFonts w:cs="Lucida Sans Unicode"/>
        </w:rPr>
        <w:t xml:space="preserve">Wright RO, </w:t>
      </w:r>
      <w:proofErr w:type="spellStart"/>
      <w:r w:rsidRPr="000B131C">
        <w:rPr>
          <w:rFonts w:cs="Lucida Sans Unicode"/>
        </w:rPr>
        <w:t>Santucci</w:t>
      </w:r>
      <w:proofErr w:type="spellEnd"/>
      <w:r w:rsidRPr="000B131C">
        <w:rPr>
          <w:rFonts w:cs="Lucida Sans Unicode"/>
        </w:rPr>
        <w:t xml:space="preserve"> KA, Jay GD, Steele DW. Evaluation of Pre- and Posttreatment Pulse Oximetry in Acute Childhood Asthma. </w:t>
      </w:r>
      <w:r w:rsidRPr="000B131C">
        <w:rPr>
          <w:rFonts w:cs="Lucida Sans Unicode"/>
          <w:i/>
          <w:iCs/>
        </w:rPr>
        <w:t xml:space="preserve">Academic Emergency Medicine </w:t>
      </w:r>
      <w:r w:rsidRPr="000B131C">
        <w:rPr>
          <w:rFonts w:cs="Lucida Sans Unicode"/>
        </w:rPr>
        <w:t xml:space="preserve">1997; </w:t>
      </w:r>
      <w:r w:rsidRPr="00512D77">
        <w:rPr>
          <w:rFonts w:cs="Lucida Sans Unicode"/>
        </w:rPr>
        <w:t>4(2): 114-117.</w:t>
      </w:r>
    </w:p>
    <w:p w14:paraId="15DE38F1" w14:textId="77777777" w:rsidR="0052724E" w:rsidRPr="00512D77" w:rsidRDefault="0052724E" w:rsidP="0052724E">
      <w:pPr>
        <w:pStyle w:val="ListParagraph"/>
        <w:numPr>
          <w:ilvl w:val="0"/>
          <w:numId w:val="18"/>
        </w:numPr>
        <w:shd w:val="clear" w:color="auto" w:fill="FFFFFF"/>
        <w:spacing w:after="100" w:afterAutospacing="1"/>
        <w:rPr>
          <w:rFonts w:eastAsia="Times New Roman"/>
          <w:color w:val="000000"/>
          <w:lang w:eastAsia="en-GB"/>
        </w:rPr>
      </w:pPr>
      <w:r w:rsidRPr="00512D77">
        <w:rPr>
          <w:rFonts w:cs="Lucida Sans Unicode"/>
        </w:rPr>
        <w:t>C</w:t>
      </w:r>
      <w:r w:rsidRPr="00512D77">
        <w:rPr>
          <w:rFonts w:eastAsia="Times New Roman"/>
          <w:color w:val="000000"/>
          <w:lang w:eastAsia="en-GB"/>
        </w:rPr>
        <w:t xml:space="preserve">are Quality Commission. </w:t>
      </w:r>
      <w:r w:rsidRPr="00512D77">
        <w:rPr>
          <w:rFonts w:eastAsia="Times New Roman"/>
          <w:i/>
          <w:iCs/>
          <w:color w:val="000000"/>
          <w:lang w:eastAsia="en-GB"/>
        </w:rPr>
        <w:t xml:space="preserve">Nigel's surgery 1: Agreed principles for defibrillators, oxygen and oximeters. </w:t>
      </w:r>
      <w:r w:rsidRPr="00512D77">
        <w:rPr>
          <w:rFonts w:eastAsia="Times New Roman"/>
          <w:iCs/>
          <w:color w:val="000000"/>
          <w:lang w:eastAsia="en-GB"/>
        </w:rPr>
        <w:t>Available at:</w:t>
      </w:r>
      <w:r w:rsidRPr="00512D77">
        <w:rPr>
          <w:rFonts w:eastAsia="Times New Roman"/>
          <w:i/>
          <w:iCs/>
          <w:color w:val="000000"/>
          <w:lang w:eastAsia="en-GB"/>
        </w:rPr>
        <w:t xml:space="preserve"> http://www.cqc.org.uk/content/nigels-surgery-1-agreed-principles-defibrillators-oxygen-and-oximeters (accessed 4th November 2015).</w:t>
      </w:r>
    </w:p>
    <w:p w14:paraId="093B2A61" w14:textId="77777777" w:rsidR="0052724E" w:rsidRDefault="0052724E" w:rsidP="0052724E">
      <w:pPr>
        <w:pStyle w:val="ListParagraph"/>
        <w:numPr>
          <w:ilvl w:val="0"/>
          <w:numId w:val="18"/>
        </w:numPr>
        <w:spacing w:after="200"/>
      </w:pPr>
      <w:r>
        <w:t>BTS/SIGN (2009</w:t>
      </w:r>
      <w:proofErr w:type="gramStart"/>
      <w:r>
        <w:t>)</w:t>
      </w:r>
      <w:r w:rsidRPr="008F3100">
        <w:t xml:space="preserve"> </w:t>
      </w:r>
      <w:r>
        <w:t>.</w:t>
      </w:r>
      <w:proofErr w:type="gramEnd"/>
      <w:r>
        <w:t xml:space="preserve"> </w:t>
      </w:r>
      <w:r w:rsidRPr="008F3100">
        <w:rPr>
          <w:i/>
        </w:rPr>
        <w:t>BTS/SIGN Guideline for the Management of Asthma, 2009 revision. BTS 2009 guidelines.</w:t>
      </w:r>
      <w:r>
        <w:t xml:space="preserve"> Available at </w:t>
      </w:r>
      <w:r w:rsidRPr="008F3100">
        <w:t>https://www.brit-thoracic.org.uk/document-library/clinical-information/asthma/btssign-asthma-guideline-2009/</w:t>
      </w:r>
      <w:r>
        <w:t xml:space="preserve"> [Full guideline]</w:t>
      </w:r>
    </w:p>
    <w:p w14:paraId="3DD580E3" w14:textId="77777777" w:rsidR="0052724E" w:rsidRPr="00AC38BF" w:rsidRDefault="0052724E" w:rsidP="0052724E">
      <w:pPr>
        <w:pStyle w:val="ListParagraph"/>
        <w:numPr>
          <w:ilvl w:val="0"/>
          <w:numId w:val="18"/>
        </w:numPr>
        <w:spacing w:after="200"/>
      </w:pPr>
      <w:r>
        <w:t xml:space="preserve">NICE (2015). </w:t>
      </w:r>
      <w:r w:rsidRPr="00653E4B">
        <w:rPr>
          <w:i/>
        </w:rPr>
        <w:t>Bronchiolitis in children : diagnosis and management, NICE Guideline June 2015</w:t>
      </w:r>
      <w:r>
        <w:t xml:space="preserve">.Available at: </w:t>
      </w:r>
      <w:r>
        <w:rPr>
          <w:rFonts w:cs="Lucida Sans Unicode"/>
          <w:lang w:val="en"/>
        </w:rPr>
        <w:t>http://www.nice.org.uk/guidance/ng9/resources/bronchiolitis-in-children-51048523717 [Full guideline]</w:t>
      </w:r>
    </w:p>
    <w:p w14:paraId="42BE6067" w14:textId="77777777" w:rsidR="0052724E" w:rsidRPr="00AC38BF" w:rsidRDefault="0052724E" w:rsidP="00AC38BF"/>
    <w:sectPr w:rsidR="0052724E" w:rsidRPr="00AC38B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2E974" w14:textId="77777777" w:rsidR="00005899" w:rsidRDefault="00005899" w:rsidP="00AC38BF">
      <w:r>
        <w:separator/>
      </w:r>
    </w:p>
  </w:endnote>
  <w:endnote w:type="continuationSeparator" w:id="0">
    <w:p w14:paraId="62E5F657" w14:textId="77777777" w:rsidR="00005899" w:rsidRDefault="00005899" w:rsidP="00AC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296B1" w14:textId="77777777" w:rsidR="00005899" w:rsidRDefault="00005899" w:rsidP="00AC38BF">
      <w:r>
        <w:separator/>
      </w:r>
    </w:p>
  </w:footnote>
  <w:footnote w:type="continuationSeparator" w:id="0">
    <w:p w14:paraId="74176270" w14:textId="77777777" w:rsidR="00005899" w:rsidRDefault="00005899" w:rsidP="00AC3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653"/>
      <w:gridCol w:w="689"/>
      <w:gridCol w:w="4597"/>
    </w:tblGrid>
    <w:tr w:rsidR="00E04F80" w14:paraId="00C77A2A" w14:textId="77777777" w:rsidTr="00140E46">
      <w:sdt>
        <w:sdtPr>
          <w:alias w:val="Select addittional CCG logo (if applicable)"/>
          <w:tag w:val="Secondary CCG logo"/>
          <w:id w:val="-582063125"/>
          <w:showingPlcHdr/>
          <w:docPartList>
            <w:docPartGallery w:val="Quick Parts"/>
            <w:docPartCategory w:val="Logos"/>
          </w:docPartList>
        </w:sdtPr>
        <w:sdtEndPr/>
        <w:sdtContent>
          <w:tc>
            <w:tcPr>
              <w:tcW w:w="4428" w:type="dxa"/>
            </w:tcPr>
            <w:p w14:paraId="0B4B71EF" w14:textId="77777777" w:rsidR="00E04F80" w:rsidRDefault="00B91032" w:rsidP="00AC38BF">
              <w:r>
                <w:t xml:space="preserve">     </w:t>
              </w:r>
            </w:p>
          </w:tc>
        </w:sdtContent>
      </w:sdt>
      <w:tc>
        <w:tcPr>
          <w:tcW w:w="810" w:type="dxa"/>
        </w:tcPr>
        <w:p w14:paraId="685E9379" w14:textId="77777777" w:rsidR="00E04F80" w:rsidRDefault="00E04F80" w:rsidP="00AC38BF"/>
      </w:tc>
      <w:sdt>
        <w:sdtPr>
          <w:rPr>
            <w:rStyle w:val="LogoChar"/>
          </w:rPr>
          <w:alias w:val="Choose CCG logo"/>
          <w:tag w:val="Choose CCG logo"/>
          <w:id w:val="895081103"/>
          <w:docPartList>
            <w:docPartGallery w:val="Quick Parts"/>
            <w:docPartCategory w:val="Logos"/>
          </w:docPartList>
        </w:sdtPr>
        <w:sdtEndPr>
          <w:rPr>
            <w:rStyle w:val="DefaultParagraphFont"/>
          </w:rPr>
        </w:sdtEndPr>
        <w:sdtContent>
          <w:tc>
            <w:tcPr>
              <w:tcW w:w="4004" w:type="dxa"/>
              <w:gridSpan w:val="2"/>
              <w:vMerge w:val="restart"/>
            </w:tcPr>
            <w:p w14:paraId="0F4C64E6" w14:textId="77777777" w:rsidR="00E04F80" w:rsidRPr="00BC3D60" w:rsidRDefault="005326ED" w:rsidP="00AC38BF">
              <w:pPr>
                <w:pStyle w:val="Logo"/>
              </w:pPr>
              <w:r w:rsidRPr="005326ED">
                <w:rPr>
                  <w:rStyle w:val="LogoChar"/>
                  <w:b/>
                  <w:bCs/>
                  <w:noProof/>
                  <w:color w:val="2BA6CB"/>
                  <w:sz w:val="23"/>
                  <w:szCs w:val="23"/>
                  <w:lang w:eastAsia="en-GB"/>
                </w:rPr>
                <w:drawing>
                  <wp:inline distT="0" distB="0" distL="0" distR="0" wp14:anchorId="6B3901CD" wp14:editId="0507075E">
                    <wp:extent cx="3209925" cy="857250"/>
                    <wp:effectExtent l="0" t="0" r="9525" b="0"/>
                    <wp:docPr id="4" name="Picture 4" descr="Hounslow CCG">
                      <a:hlinkClick xmlns:a="http://schemas.openxmlformats.org/drawingml/2006/main" r:id="rId1" tooltip="&quot;Hounslow CC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unslow CCG">
                              <a:hlinkClick r:id="rId1" tooltip="&quot;Hounslow CCG&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9925" cy="857250"/>
                            </a:xfrm>
                            <a:prstGeom prst="rect">
                              <a:avLst/>
                            </a:prstGeom>
                            <a:noFill/>
                            <a:ln>
                              <a:noFill/>
                            </a:ln>
                          </pic:spPr>
                        </pic:pic>
                      </a:graphicData>
                    </a:graphic>
                  </wp:inline>
                </w:drawing>
              </w:r>
            </w:p>
          </w:tc>
        </w:sdtContent>
      </w:sdt>
    </w:tr>
    <w:tr w:rsidR="00E04F80" w14:paraId="7288A51D" w14:textId="77777777" w:rsidTr="00140E46">
      <w:tc>
        <w:tcPr>
          <w:tcW w:w="5238" w:type="dxa"/>
          <w:gridSpan w:val="2"/>
        </w:tcPr>
        <w:p w14:paraId="7FA64FFB" w14:textId="77777777" w:rsidR="00E04F80" w:rsidRPr="00BC3D60" w:rsidRDefault="00E04F80" w:rsidP="00AC38BF">
          <w:pPr>
            <w:pStyle w:val="Header-Nameofmeeting"/>
          </w:pPr>
        </w:p>
      </w:tc>
      <w:tc>
        <w:tcPr>
          <w:tcW w:w="4004" w:type="dxa"/>
          <w:gridSpan w:val="2"/>
          <w:vMerge/>
        </w:tcPr>
        <w:p w14:paraId="2A574F44" w14:textId="77777777" w:rsidR="00E04F80" w:rsidRDefault="00E04F80" w:rsidP="00AC38BF"/>
      </w:tc>
    </w:tr>
    <w:tr w:rsidR="00E04F80" w14:paraId="2CAF9907" w14:textId="77777777" w:rsidTr="00B54B20">
      <w:tc>
        <w:tcPr>
          <w:tcW w:w="4428" w:type="dxa"/>
        </w:tcPr>
        <w:p w14:paraId="7F333953" w14:textId="77777777" w:rsidR="00E04F80" w:rsidRDefault="00E04F80" w:rsidP="00AC38BF"/>
      </w:tc>
      <w:tc>
        <w:tcPr>
          <w:tcW w:w="1440" w:type="dxa"/>
          <w:gridSpan w:val="2"/>
          <w:tcBorders>
            <w:right w:val="single" w:sz="4" w:space="0" w:color="auto"/>
          </w:tcBorders>
        </w:tcPr>
        <w:p w14:paraId="6B2B25A7" w14:textId="77777777" w:rsidR="00E04F80" w:rsidRDefault="00E04F80" w:rsidP="00AC38BF"/>
      </w:tc>
      <w:tc>
        <w:tcPr>
          <w:tcW w:w="3374" w:type="dxa"/>
          <w:tcBorders>
            <w:top w:val="single" w:sz="4" w:space="0" w:color="auto"/>
            <w:left w:val="single" w:sz="4" w:space="0" w:color="auto"/>
            <w:bottom w:val="single" w:sz="4" w:space="0" w:color="auto"/>
            <w:right w:val="single" w:sz="4" w:space="0" w:color="auto"/>
          </w:tcBorders>
        </w:tcPr>
        <w:sdt>
          <w:sdtPr>
            <w:rPr>
              <w:rStyle w:val="YESChar"/>
            </w:rPr>
            <w:alias w:val="Which part of the meeting"/>
            <w:tag w:val="Which part of the meeting"/>
            <w:id w:val="928235672"/>
            <w:showingPlcHdr/>
            <w:dropDownList>
              <w:listItem w:value="Choose an item."/>
              <w:listItem w:displayText="Part I" w:value="Part I"/>
              <w:listItem w:displayText="Part II" w:value="Part II"/>
            </w:dropDownList>
          </w:sdtPr>
          <w:sdtEndPr>
            <w:rPr>
              <w:rStyle w:val="DefaultParagraphFont"/>
              <w:b w:val="0"/>
              <w:color w:val="auto"/>
            </w:rPr>
          </w:sdtEndPr>
          <w:sdtContent>
            <w:p w14:paraId="71506549" w14:textId="77777777" w:rsidR="00E04F80" w:rsidRDefault="00BE34EB" w:rsidP="00AC38BF">
              <w:pPr>
                <w:pStyle w:val="Logo"/>
              </w:pPr>
              <w:r>
                <w:rPr>
                  <w:rStyle w:val="YESChar"/>
                </w:rPr>
                <w:t xml:space="preserve">     </w:t>
              </w:r>
            </w:p>
          </w:sdtContent>
        </w:sdt>
        <w:p w14:paraId="344A97D5" w14:textId="77777777" w:rsidR="00E04F80" w:rsidRPr="002857FF" w:rsidRDefault="00E04F80" w:rsidP="00AC38BF">
          <w:pPr>
            <w:pStyle w:val="Logo"/>
          </w:pPr>
          <w:r w:rsidRPr="002857FF">
            <w:t xml:space="preserve">Paper: </w:t>
          </w:r>
          <w:r w:rsidRPr="002857FF">
            <w:sym w:font="Symbol" w:char="F023"/>
          </w:r>
          <w:r w:rsidRPr="002857FF">
            <w:t xml:space="preserve"> to be added by each CCG</w:t>
          </w:r>
        </w:p>
      </w:tc>
    </w:tr>
    <w:tr w:rsidR="00E04F80" w14:paraId="5C62FB56" w14:textId="77777777" w:rsidTr="00140E46">
      <w:tc>
        <w:tcPr>
          <w:tcW w:w="9242" w:type="dxa"/>
          <w:gridSpan w:val="4"/>
        </w:tcPr>
        <w:p w14:paraId="678E626E" w14:textId="77777777" w:rsidR="00E04F80" w:rsidRPr="00152B55" w:rsidRDefault="00E04F80" w:rsidP="00AC38BF"/>
      </w:tc>
    </w:tr>
  </w:tbl>
  <w:p w14:paraId="5C51093A" w14:textId="77777777" w:rsidR="00E04F80" w:rsidRPr="00DB6912" w:rsidRDefault="00E04F80" w:rsidP="00AC38BF">
    <w:pPr>
      <w:pStyle w:val="Header"/>
      <w:rPr>
        <w:rStyle w:val="Meet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E9C"/>
    <w:multiLevelType w:val="hybridMultilevel"/>
    <w:tmpl w:val="49CA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283F74"/>
    <w:multiLevelType w:val="hybridMultilevel"/>
    <w:tmpl w:val="E6A86E2E"/>
    <w:lvl w:ilvl="0" w:tplc="4C2CA35E">
      <w:start w:val="1"/>
      <w:numFmt w:val="bullet"/>
      <w:lvlText w:val="•"/>
      <w:lvlJc w:val="left"/>
      <w:pPr>
        <w:tabs>
          <w:tab w:val="num" w:pos="720"/>
        </w:tabs>
        <w:ind w:left="720" w:hanging="360"/>
      </w:pPr>
      <w:rPr>
        <w:rFonts w:ascii="Arial" w:hAnsi="Arial" w:hint="default"/>
      </w:rPr>
    </w:lvl>
    <w:lvl w:ilvl="1" w:tplc="F364C3A6" w:tentative="1">
      <w:start w:val="1"/>
      <w:numFmt w:val="bullet"/>
      <w:lvlText w:val="•"/>
      <w:lvlJc w:val="left"/>
      <w:pPr>
        <w:tabs>
          <w:tab w:val="num" w:pos="1440"/>
        </w:tabs>
        <w:ind w:left="1440" w:hanging="360"/>
      </w:pPr>
      <w:rPr>
        <w:rFonts w:ascii="Arial" w:hAnsi="Arial" w:hint="default"/>
      </w:rPr>
    </w:lvl>
    <w:lvl w:ilvl="2" w:tplc="3A9E1F58" w:tentative="1">
      <w:start w:val="1"/>
      <w:numFmt w:val="bullet"/>
      <w:lvlText w:val="•"/>
      <w:lvlJc w:val="left"/>
      <w:pPr>
        <w:tabs>
          <w:tab w:val="num" w:pos="2160"/>
        </w:tabs>
        <w:ind w:left="2160" w:hanging="360"/>
      </w:pPr>
      <w:rPr>
        <w:rFonts w:ascii="Arial" w:hAnsi="Arial" w:hint="default"/>
      </w:rPr>
    </w:lvl>
    <w:lvl w:ilvl="3" w:tplc="C8829A82" w:tentative="1">
      <w:start w:val="1"/>
      <w:numFmt w:val="bullet"/>
      <w:lvlText w:val="•"/>
      <w:lvlJc w:val="left"/>
      <w:pPr>
        <w:tabs>
          <w:tab w:val="num" w:pos="2880"/>
        </w:tabs>
        <w:ind w:left="2880" w:hanging="360"/>
      </w:pPr>
      <w:rPr>
        <w:rFonts w:ascii="Arial" w:hAnsi="Arial" w:hint="default"/>
      </w:rPr>
    </w:lvl>
    <w:lvl w:ilvl="4" w:tplc="0290B3B6" w:tentative="1">
      <w:start w:val="1"/>
      <w:numFmt w:val="bullet"/>
      <w:lvlText w:val="•"/>
      <w:lvlJc w:val="left"/>
      <w:pPr>
        <w:tabs>
          <w:tab w:val="num" w:pos="3600"/>
        </w:tabs>
        <w:ind w:left="3600" w:hanging="360"/>
      </w:pPr>
      <w:rPr>
        <w:rFonts w:ascii="Arial" w:hAnsi="Arial" w:hint="default"/>
      </w:rPr>
    </w:lvl>
    <w:lvl w:ilvl="5" w:tplc="C97A0844" w:tentative="1">
      <w:start w:val="1"/>
      <w:numFmt w:val="bullet"/>
      <w:lvlText w:val="•"/>
      <w:lvlJc w:val="left"/>
      <w:pPr>
        <w:tabs>
          <w:tab w:val="num" w:pos="4320"/>
        </w:tabs>
        <w:ind w:left="4320" w:hanging="360"/>
      </w:pPr>
      <w:rPr>
        <w:rFonts w:ascii="Arial" w:hAnsi="Arial" w:hint="default"/>
      </w:rPr>
    </w:lvl>
    <w:lvl w:ilvl="6" w:tplc="8BAA7564" w:tentative="1">
      <w:start w:val="1"/>
      <w:numFmt w:val="bullet"/>
      <w:lvlText w:val="•"/>
      <w:lvlJc w:val="left"/>
      <w:pPr>
        <w:tabs>
          <w:tab w:val="num" w:pos="5040"/>
        </w:tabs>
        <w:ind w:left="5040" w:hanging="360"/>
      </w:pPr>
      <w:rPr>
        <w:rFonts w:ascii="Arial" w:hAnsi="Arial" w:hint="default"/>
      </w:rPr>
    </w:lvl>
    <w:lvl w:ilvl="7" w:tplc="E51C093E" w:tentative="1">
      <w:start w:val="1"/>
      <w:numFmt w:val="bullet"/>
      <w:lvlText w:val="•"/>
      <w:lvlJc w:val="left"/>
      <w:pPr>
        <w:tabs>
          <w:tab w:val="num" w:pos="5760"/>
        </w:tabs>
        <w:ind w:left="5760" w:hanging="360"/>
      </w:pPr>
      <w:rPr>
        <w:rFonts w:ascii="Arial" w:hAnsi="Arial" w:hint="default"/>
      </w:rPr>
    </w:lvl>
    <w:lvl w:ilvl="8" w:tplc="E19CA1EC" w:tentative="1">
      <w:start w:val="1"/>
      <w:numFmt w:val="bullet"/>
      <w:lvlText w:val="•"/>
      <w:lvlJc w:val="left"/>
      <w:pPr>
        <w:tabs>
          <w:tab w:val="num" w:pos="6480"/>
        </w:tabs>
        <w:ind w:left="6480" w:hanging="360"/>
      </w:pPr>
      <w:rPr>
        <w:rFonts w:ascii="Arial" w:hAnsi="Arial" w:hint="default"/>
      </w:rPr>
    </w:lvl>
  </w:abstractNum>
  <w:abstractNum w:abstractNumId="2">
    <w:nsid w:val="129F02E4"/>
    <w:multiLevelType w:val="hybridMultilevel"/>
    <w:tmpl w:val="23B4023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nsid w:val="1A084B04"/>
    <w:multiLevelType w:val="hybridMultilevel"/>
    <w:tmpl w:val="6396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68535E"/>
    <w:multiLevelType w:val="hybridMultilevel"/>
    <w:tmpl w:val="163E9A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ED86A16"/>
    <w:multiLevelType w:val="hybridMultilevel"/>
    <w:tmpl w:val="1BF6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7F19A5"/>
    <w:multiLevelType w:val="multilevel"/>
    <w:tmpl w:val="5532F8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080" w:hanging="720"/>
      </w:pPr>
      <w:rPr>
        <w:rFonts w:ascii="Arial" w:hAnsi="Arial" w:cs="Arial" w:hint="default"/>
        <w:b/>
      </w:rPr>
    </w:lvl>
    <w:lvl w:ilvl="4">
      <w:start w:val="1"/>
      <w:numFmt w:val="decimal"/>
      <w:isLgl/>
      <w:lvlText w:val="%1.%2.%3.%4.%5"/>
      <w:lvlJc w:val="left"/>
      <w:pPr>
        <w:ind w:left="1440" w:hanging="1080"/>
      </w:pPr>
      <w:rPr>
        <w:rFonts w:ascii="Arial" w:hAnsi="Arial" w:cs="Arial" w:hint="default"/>
        <w:b/>
      </w:rPr>
    </w:lvl>
    <w:lvl w:ilvl="5">
      <w:start w:val="1"/>
      <w:numFmt w:val="decimal"/>
      <w:isLgl/>
      <w:lvlText w:val="%1.%2.%3.%4.%5.%6"/>
      <w:lvlJc w:val="left"/>
      <w:pPr>
        <w:ind w:left="1440" w:hanging="1080"/>
      </w:pPr>
      <w:rPr>
        <w:rFonts w:ascii="Arial" w:hAnsi="Arial" w:cs="Arial" w:hint="default"/>
        <w:b/>
      </w:rPr>
    </w:lvl>
    <w:lvl w:ilvl="6">
      <w:start w:val="1"/>
      <w:numFmt w:val="decimal"/>
      <w:isLgl/>
      <w:lvlText w:val="%1.%2.%3.%4.%5.%6.%7"/>
      <w:lvlJc w:val="left"/>
      <w:pPr>
        <w:ind w:left="1800" w:hanging="1440"/>
      </w:pPr>
      <w:rPr>
        <w:rFonts w:ascii="Arial" w:hAnsi="Arial" w:cs="Arial" w:hint="default"/>
        <w:b/>
      </w:rPr>
    </w:lvl>
    <w:lvl w:ilvl="7">
      <w:start w:val="1"/>
      <w:numFmt w:val="decimal"/>
      <w:isLgl/>
      <w:lvlText w:val="%1.%2.%3.%4.%5.%6.%7.%8"/>
      <w:lvlJc w:val="left"/>
      <w:pPr>
        <w:ind w:left="1800" w:hanging="1440"/>
      </w:pPr>
      <w:rPr>
        <w:rFonts w:ascii="Arial" w:hAnsi="Arial" w:cs="Arial" w:hint="default"/>
        <w:b/>
      </w:rPr>
    </w:lvl>
    <w:lvl w:ilvl="8">
      <w:start w:val="1"/>
      <w:numFmt w:val="decimal"/>
      <w:isLgl/>
      <w:lvlText w:val="%1.%2.%3.%4.%5.%6.%7.%8.%9"/>
      <w:lvlJc w:val="left"/>
      <w:pPr>
        <w:ind w:left="1800" w:hanging="1440"/>
      </w:pPr>
      <w:rPr>
        <w:rFonts w:ascii="Arial" w:hAnsi="Arial" w:cs="Arial" w:hint="default"/>
        <w:b/>
      </w:rPr>
    </w:lvl>
  </w:abstractNum>
  <w:abstractNum w:abstractNumId="7">
    <w:nsid w:val="2C1D1771"/>
    <w:multiLevelType w:val="hybridMultilevel"/>
    <w:tmpl w:val="0D60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5E0B55"/>
    <w:multiLevelType w:val="hybridMultilevel"/>
    <w:tmpl w:val="6F14E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0B3FD8"/>
    <w:multiLevelType w:val="hybridMultilevel"/>
    <w:tmpl w:val="F178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4075D6"/>
    <w:multiLevelType w:val="hybridMultilevel"/>
    <w:tmpl w:val="D0B06B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877A1A"/>
    <w:multiLevelType w:val="hybridMultilevel"/>
    <w:tmpl w:val="FF76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A26A3F"/>
    <w:multiLevelType w:val="hybridMultilevel"/>
    <w:tmpl w:val="7C80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3F6D0F"/>
    <w:multiLevelType w:val="hybridMultilevel"/>
    <w:tmpl w:val="F780A494"/>
    <w:lvl w:ilvl="0" w:tplc="55DEAEC6">
      <w:start w:val="1"/>
      <w:numFmt w:val="bullet"/>
      <w:pStyle w:val="Bullets"/>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7D8067F9"/>
    <w:multiLevelType w:val="hybridMultilevel"/>
    <w:tmpl w:val="FDE04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8"/>
  </w:num>
  <w:num w:numId="4">
    <w:abstractNumId w:val="13"/>
  </w:num>
  <w:num w:numId="5">
    <w:abstractNumId w:val="13"/>
  </w:num>
  <w:num w:numId="6">
    <w:abstractNumId w:val="13"/>
  </w:num>
  <w:num w:numId="7">
    <w:abstractNumId w:val="12"/>
  </w:num>
  <w:num w:numId="8">
    <w:abstractNumId w:val="6"/>
  </w:num>
  <w:num w:numId="9">
    <w:abstractNumId w:val="7"/>
  </w:num>
  <w:num w:numId="10">
    <w:abstractNumId w:val="4"/>
  </w:num>
  <w:num w:numId="11">
    <w:abstractNumId w:val="2"/>
  </w:num>
  <w:num w:numId="12">
    <w:abstractNumId w:val="5"/>
  </w:num>
  <w:num w:numId="13">
    <w:abstractNumId w:val="0"/>
  </w:num>
  <w:num w:numId="14">
    <w:abstractNumId w:val="3"/>
  </w:num>
  <w:num w:numId="15">
    <w:abstractNumId w:val="10"/>
  </w:num>
  <w:num w:numId="16">
    <w:abstractNumId w:val="9"/>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7AE"/>
    <w:rsid w:val="00005899"/>
    <w:rsid w:val="000419F6"/>
    <w:rsid w:val="00047B95"/>
    <w:rsid w:val="00086328"/>
    <w:rsid w:val="000D3A05"/>
    <w:rsid w:val="000F2698"/>
    <w:rsid w:val="00101E3F"/>
    <w:rsid w:val="00102C8F"/>
    <w:rsid w:val="00140E46"/>
    <w:rsid w:val="00161417"/>
    <w:rsid w:val="00167B12"/>
    <w:rsid w:val="001937AE"/>
    <w:rsid w:val="001951FC"/>
    <w:rsid w:val="001A79BC"/>
    <w:rsid w:val="001B08A1"/>
    <w:rsid w:val="001C61AA"/>
    <w:rsid w:val="001F1EE3"/>
    <w:rsid w:val="0020168F"/>
    <w:rsid w:val="00211FBB"/>
    <w:rsid w:val="00230E4B"/>
    <w:rsid w:val="00256323"/>
    <w:rsid w:val="002857FF"/>
    <w:rsid w:val="002869EF"/>
    <w:rsid w:val="003005DA"/>
    <w:rsid w:val="00305F33"/>
    <w:rsid w:val="00333525"/>
    <w:rsid w:val="003A6257"/>
    <w:rsid w:val="003B4DE3"/>
    <w:rsid w:val="00403EAF"/>
    <w:rsid w:val="0047534C"/>
    <w:rsid w:val="004869F8"/>
    <w:rsid w:val="004A3055"/>
    <w:rsid w:val="004C34D1"/>
    <w:rsid w:val="00515EC5"/>
    <w:rsid w:val="0052724E"/>
    <w:rsid w:val="005326ED"/>
    <w:rsid w:val="00594B50"/>
    <w:rsid w:val="005B4A03"/>
    <w:rsid w:val="005E7B6E"/>
    <w:rsid w:val="005F4473"/>
    <w:rsid w:val="00600830"/>
    <w:rsid w:val="00647804"/>
    <w:rsid w:val="00654961"/>
    <w:rsid w:val="006962A0"/>
    <w:rsid w:val="00704BB1"/>
    <w:rsid w:val="0071300F"/>
    <w:rsid w:val="0079009E"/>
    <w:rsid w:val="00793070"/>
    <w:rsid w:val="007B73F5"/>
    <w:rsid w:val="007C2136"/>
    <w:rsid w:val="00820948"/>
    <w:rsid w:val="0085054D"/>
    <w:rsid w:val="0085430E"/>
    <w:rsid w:val="0087001F"/>
    <w:rsid w:val="008755B7"/>
    <w:rsid w:val="008D6E0A"/>
    <w:rsid w:val="009240A0"/>
    <w:rsid w:val="00925B41"/>
    <w:rsid w:val="009F18E7"/>
    <w:rsid w:val="00A04B6C"/>
    <w:rsid w:val="00A74DD0"/>
    <w:rsid w:val="00A976AB"/>
    <w:rsid w:val="00AC38BF"/>
    <w:rsid w:val="00AE0C5D"/>
    <w:rsid w:val="00AF7CFC"/>
    <w:rsid w:val="00B378A4"/>
    <w:rsid w:val="00B54B20"/>
    <w:rsid w:val="00B91032"/>
    <w:rsid w:val="00BC01A6"/>
    <w:rsid w:val="00BC3D60"/>
    <w:rsid w:val="00BC410E"/>
    <w:rsid w:val="00BE34EB"/>
    <w:rsid w:val="00CE7F28"/>
    <w:rsid w:val="00D13191"/>
    <w:rsid w:val="00D158EE"/>
    <w:rsid w:val="00D50E27"/>
    <w:rsid w:val="00D759F5"/>
    <w:rsid w:val="00D86F47"/>
    <w:rsid w:val="00DB488F"/>
    <w:rsid w:val="00DB6912"/>
    <w:rsid w:val="00DF247D"/>
    <w:rsid w:val="00E04F80"/>
    <w:rsid w:val="00E139CB"/>
    <w:rsid w:val="00E51BDF"/>
    <w:rsid w:val="00E66980"/>
    <w:rsid w:val="00F61338"/>
    <w:rsid w:val="00F827D0"/>
    <w:rsid w:val="00FA5FD0"/>
    <w:rsid w:val="00FB080E"/>
    <w:rsid w:val="00FD33B2"/>
    <w:rsid w:val="00FF5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FA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8BF"/>
    <w:pPr>
      <w:spacing w:after="120" w:line="240" w:lineRule="auto"/>
    </w:pPr>
    <w:rPr>
      <w:rFonts w:ascii="Arial" w:hAnsi="Arial" w:cs="Arial"/>
    </w:rPr>
  </w:style>
  <w:style w:type="paragraph" w:styleId="Heading1">
    <w:name w:val="heading 1"/>
    <w:basedOn w:val="Normal"/>
    <w:next w:val="Normal"/>
    <w:link w:val="Heading1Char"/>
    <w:uiPriority w:val="9"/>
    <w:qFormat/>
    <w:rsid w:val="00DB69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18E7"/>
    <w:rPr>
      <w:color w:val="808080"/>
    </w:rPr>
  </w:style>
  <w:style w:type="paragraph" w:styleId="BalloonText">
    <w:name w:val="Balloon Text"/>
    <w:basedOn w:val="Normal"/>
    <w:link w:val="BalloonTextChar"/>
    <w:uiPriority w:val="99"/>
    <w:semiHidden/>
    <w:unhideWhenUsed/>
    <w:rsid w:val="009F18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8E7"/>
    <w:rPr>
      <w:rFonts w:ascii="Tahoma" w:hAnsi="Tahoma" w:cs="Tahoma"/>
      <w:sz w:val="16"/>
      <w:szCs w:val="16"/>
    </w:rPr>
  </w:style>
  <w:style w:type="paragraph" w:styleId="Header">
    <w:name w:val="header"/>
    <w:basedOn w:val="Normal"/>
    <w:link w:val="HeaderChar"/>
    <w:uiPriority w:val="99"/>
    <w:unhideWhenUsed/>
    <w:rsid w:val="009F18E7"/>
    <w:pPr>
      <w:tabs>
        <w:tab w:val="center" w:pos="4513"/>
        <w:tab w:val="right" w:pos="9026"/>
      </w:tabs>
      <w:spacing w:after="0"/>
    </w:pPr>
  </w:style>
  <w:style w:type="character" w:customStyle="1" w:styleId="HeaderChar">
    <w:name w:val="Header Char"/>
    <w:basedOn w:val="DefaultParagraphFont"/>
    <w:link w:val="Header"/>
    <w:uiPriority w:val="99"/>
    <w:rsid w:val="009F18E7"/>
  </w:style>
  <w:style w:type="paragraph" w:styleId="Footer">
    <w:name w:val="footer"/>
    <w:basedOn w:val="Normal"/>
    <w:link w:val="FooterChar"/>
    <w:uiPriority w:val="99"/>
    <w:unhideWhenUsed/>
    <w:rsid w:val="009F18E7"/>
    <w:pPr>
      <w:tabs>
        <w:tab w:val="center" w:pos="4513"/>
        <w:tab w:val="right" w:pos="9026"/>
      </w:tabs>
      <w:spacing w:after="0"/>
    </w:pPr>
  </w:style>
  <w:style w:type="character" w:customStyle="1" w:styleId="FooterChar">
    <w:name w:val="Footer Char"/>
    <w:basedOn w:val="DefaultParagraphFont"/>
    <w:link w:val="Footer"/>
    <w:uiPriority w:val="99"/>
    <w:rsid w:val="009F18E7"/>
  </w:style>
  <w:style w:type="table" w:styleId="TableGrid">
    <w:name w:val="Table Grid"/>
    <w:basedOn w:val="TableNormal"/>
    <w:uiPriority w:val="59"/>
    <w:rsid w:val="009F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Nameofmeeting">
    <w:name w:val="Header - Name of meeting"/>
    <w:basedOn w:val="Normal"/>
    <w:link w:val="Header-NameofmeetingChar"/>
    <w:qFormat/>
    <w:rsid w:val="00DB6912"/>
    <w:pPr>
      <w:spacing w:before="240" w:after="0"/>
    </w:pPr>
    <w:rPr>
      <w:rFonts w:asciiTheme="majorHAnsi" w:hAnsiTheme="majorHAnsi"/>
      <w:color w:val="17365D" w:themeColor="text2" w:themeShade="BF"/>
      <w:sz w:val="32"/>
      <w:szCs w:val="32"/>
    </w:rPr>
  </w:style>
  <w:style w:type="paragraph" w:customStyle="1" w:styleId="Logo">
    <w:name w:val="Logo"/>
    <w:basedOn w:val="Normal"/>
    <w:link w:val="LogoChar"/>
    <w:qFormat/>
    <w:rsid w:val="00DB6912"/>
    <w:pPr>
      <w:jc w:val="right"/>
    </w:pPr>
  </w:style>
  <w:style w:type="character" w:customStyle="1" w:styleId="Header-NameofmeetingChar">
    <w:name w:val="Header - Name of meeting Char"/>
    <w:basedOn w:val="DefaultParagraphFont"/>
    <w:link w:val="Header-Nameofmeeting"/>
    <w:rsid w:val="00DB6912"/>
    <w:rPr>
      <w:rFonts w:asciiTheme="majorHAnsi" w:hAnsiTheme="majorHAnsi"/>
      <w:color w:val="17365D" w:themeColor="text2" w:themeShade="BF"/>
      <w:sz w:val="32"/>
      <w:szCs w:val="32"/>
    </w:rPr>
  </w:style>
  <w:style w:type="paragraph" w:customStyle="1" w:styleId="Tableprompt">
    <w:name w:val="Table prompt"/>
    <w:basedOn w:val="Normal"/>
    <w:link w:val="TablepromptChar"/>
    <w:qFormat/>
    <w:rsid w:val="00AC38BF"/>
    <w:pPr>
      <w:keepNext/>
    </w:pPr>
    <w:rPr>
      <w:b/>
      <w:u w:color="000000"/>
    </w:rPr>
  </w:style>
  <w:style w:type="character" w:customStyle="1" w:styleId="LogoChar">
    <w:name w:val="Logo Char"/>
    <w:basedOn w:val="DefaultParagraphFont"/>
    <w:link w:val="Logo"/>
    <w:rsid w:val="00DB6912"/>
  </w:style>
  <w:style w:type="paragraph" w:styleId="NoSpacing">
    <w:name w:val="No Spacing"/>
    <w:basedOn w:val="Normal"/>
    <w:uiPriority w:val="1"/>
    <w:qFormat/>
    <w:rsid w:val="00DB6912"/>
    <w:rPr>
      <w:sz w:val="16"/>
    </w:rPr>
  </w:style>
  <w:style w:type="character" w:customStyle="1" w:styleId="TablepromptChar">
    <w:name w:val="Table prompt Char"/>
    <w:basedOn w:val="DefaultParagraphFont"/>
    <w:link w:val="Tableprompt"/>
    <w:rsid w:val="00AC38BF"/>
    <w:rPr>
      <w:rFonts w:ascii="Arial" w:hAnsi="Arial" w:cs="Arial"/>
      <w:b/>
      <w:u w:color="000000"/>
    </w:rPr>
  </w:style>
  <w:style w:type="character" w:customStyle="1" w:styleId="Style1">
    <w:name w:val="Style1"/>
    <w:basedOn w:val="TablepromptChar"/>
    <w:uiPriority w:val="1"/>
    <w:rsid w:val="00600830"/>
    <w:rPr>
      <w:rFonts w:ascii="Arial" w:hAnsi="Arial" w:cs="Arial"/>
      <w:b/>
      <w:u w:color="000000"/>
    </w:rPr>
  </w:style>
  <w:style w:type="paragraph" w:customStyle="1" w:styleId="YES">
    <w:name w:val="YES"/>
    <w:basedOn w:val="Normal"/>
    <w:link w:val="YESChar"/>
    <w:qFormat/>
    <w:rsid w:val="00DB6912"/>
    <w:rPr>
      <w:b/>
      <w:color w:val="FF0000"/>
    </w:rPr>
  </w:style>
  <w:style w:type="paragraph" w:customStyle="1" w:styleId="No">
    <w:name w:val="No"/>
    <w:basedOn w:val="YES"/>
    <w:link w:val="NoChar"/>
    <w:qFormat/>
    <w:rsid w:val="00DB6912"/>
    <w:rPr>
      <w:color w:val="00B050"/>
    </w:rPr>
  </w:style>
  <w:style w:type="character" w:customStyle="1" w:styleId="YESChar">
    <w:name w:val="YES Char"/>
    <w:basedOn w:val="DefaultParagraphFont"/>
    <w:link w:val="YES"/>
    <w:rsid w:val="00DB6912"/>
    <w:rPr>
      <w:b/>
      <w:color w:val="FF0000"/>
    </w:rPr>
  </w:style>
  <w:style w:type="character" w:customStyle="1" w:styleId="NoChar">
    <w:name w:val="No Char"/>
    <w:basedOn w:val="YESChar"/>
    <w:link w:val="No"/>
    <w:rsid w:val="00DB6912"/>
    <w:rPr>
      <w:b/>
      <w:color w:val="00B050"/>
    </w:rPr>
  </w:style>
  <w:style w:type="paragraph" w:customStyle="1" w:styleId="Bullets">
    <w:name w:val="Bullets"/>
    <w:basedOn w:val="Normal"/>
    <w:link w:val="BulletsChar"/>
    <w:qFormat/>
    <w:rsid w:val="00DB6912"/>
    <w:pPr>
      <w:keepNext/>
      <w:numPr>
        <w:numId w:val="1"/>
      </w:numPr>
      <w:spacing w:before="120" w:after="0" w:line="240" w:lineRule="atLeast"/>
      <w:jc w:val="both"/>
    </w:pPr>
    <w:rPr>
      <w:rFonts w:ascii="Calibri" w:eastAsia="MS Mincho" w:hAnsi="Calibri" w:cs="Calibri"/>
      <w:kern w:val="18"/>
      <w:szCs w:val="20"/>
      <w:lang w:eastAsia="en-GB"/>
    </w:rPr>
  </w:style>
  <w:style w:type="character" w:customStyle="1" w:styleId="BulletsChar">
    <w:name w:val="Bullets Char"/>
    <w:link w:val="Bullets"/>
    <w:rsid w:val="00DB6912"/>
    <w:rPr>
      <w:rFonts w:ascii="Calibri" w:eastAsia="MS Mincho" w:hAnsi="Calibri" w:cs="Calibri"/>
      <w:kern w:val="18"/>
      <w:szCs w:val="20"/>
      <w:lang w:eastAsia="en-GB"/>
    </w:rPr>
  </w:style>
  <w:style w:type="paragraph" w:styleId="ListParagraph">
    <w:name w:val="List Paragraph"/>
    <w:basedOn w:val="Normal"/>
    <w:link w:val="ListParagraphChar"/>
    <w:uiPriority w:val="34"/>
    <w:qFormat/>
    <w:rsid w:val="00DB6912"/>
    <w:pPr>
      <w:ind w:left="720"/>
      <w:contextualSpacing/>
    </w:pPr>
  </w:style>
  <w:style w:type="character" w:customStyle="1" w:styleId="Heading1Char">
    <w:name w:val="Heading 1 Char"/>
    <w:basedOn w:val="DefaultParagraphFont"/>
    <w:link w:val="Heading1"/>
    <w:uiPriority w:val="9"/>
    <w:rsid w:val="00DB691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B691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6912"/>
    <w:rPr>
      <w:rFonts w:asciiTheme="majorHAnsi" w:eastAsiaTheme="majorEastAsia" w:hAnsiTheme="majorHAnsi" w:cstheme="majorBidi"/>
      <w:color w:val="17365D" w:themeColor="text2" w:themeShade="BF"/>
      <w:spacing w:val="5"/>
      <w:kern w:val="28"/>
      <w:sz w:val="52"/>
      <w:szCs w:val="52"/>
    </w:rPr>
  </w:style>
  <w:style w:type="character" w:customStyle="1" w:styleId="Meeting">
    <w:name w:val="Meeting"/>
    <w:basedOn w:val="DefaultParagraphFont"/>
    <w:uiPriority w:val="1"/>
    <w:rsid w:val="00DB6912"/>
    <w:rPr>
      <w:b/>
      <w:sz w:val="28"/>
    </w:rPr>
  </w:style>
  <w:style w:type="character" w:customStyle="1" w:styleId="Style2">
    <w:name w:val="Style2"/>
    <w:basedOn w:val="DefaultParagraphFont"/>
    <w:uiPriority w:val="1"/>
    <w:rsid w:val="00DB6912"/>
    <w:rPr>
      <w:rFonts w:ascii="Arial" w:hAnsi="Arial"/>
      <w:b/>
      <w:sz w:val="28"/>
    </w:rPr>
  </w:style>
  <w:style w:type="character" w:customStyle="1" w:styleId="ListParagraphChar">
    <w:name w:val="List Paragraph Char"/>
    <w:link w:val="ListParagraph"/>
    <w:uiPriority w:val="34"/>
    <w:rsid w:val="00D50E27"/>
    <w:rPr>
      <w:rFonts w:ascii="Arial" w:hAnsi="Arial" w:cs="Arial"/>
    </w:rPr>
  </w:style>
  <w:style w:type="paragraph" w:customStyle="1" w:styleId="Default">
    <w:name w:val="Default"/>
    <w:rsid w:val="00403EA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2724E"/>
    <w:rPr>
      <w:sz w:val="16"/>
      <w:szCs w:val="16"/>
    </w:rPr>
  </w:style>
  <w:style w:type="paragraph" w:styleId="CommentText">
    <w:name w:val="annotation text"/>
    <w:basedOn w:val="Normal"/>
    <w:link w:val="CommentTextChar"/>
    <w:uiPriority w:val="99"/>
    <w:semiHidden/>
    <w:unhideWhenUsed/>
    <w:rsid w:val="0052724E"/>
    <w:rPr>
      <w:sz w:val="20"/>
      <w:szCs w:val="20"/>
    </w:rPr>
  </w:style>
  <w:style w:type="character" w:customStyle="1" w:styleId="CommentTextChar">
    <w:name w:val="Comment Text Char"/>
    <w:basedOn w:val="DefaultParagraphFont"/>
    <w:link w:val="CommentText"/>
    <w:uiPriority w:val="99"/>
    <w:semiHidden/>
    <w:rsid w:val="0052724E"/>
    <w:rPr>
      <w:rFonts w:ascii="Arial" w:hAnsi="Arial" w:cs="Arial"/>
      <w:sz w:val="20"/>
      <w:szCs w:val="20"/>
    </w:rPr>
  </w:style>
  <w:style w:type="character" w:customStyle="1" w:styleId="citation">
    <w:name w:val="citation"/>
    <w:basedOn w:val="DefaultParagraphFont"/>
    <w:rsid w:val="005272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8BF"/>
    <w:pPr>
      <w:spacing w:after="120" w:line="240" w:lineRule="auto"/>
    </w:pPr>
    <w:rPr>
      <w:rFonts w:ascii="Arial" w:hAnsi="Arial" w:cs="Arial"/>
    </w:rPr>
  </w:style>
  <w:style w:type="paragraph" w:styleId="Heading1">
    <w:name w:val="heading 1"/>
    <w:basedOn w:val="Normal"/>
    <w:next w:val="Normal"/>
    <w:link w:val="Heading1Char"/>
    <w:uiPriority w:val="9"/>
    <w:qFormat/>
    <w:rsid w:val="00DB69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18E7"/>
    <w:rPr>
      <w:color w:val="808080"/>
    </w:rPr>
  </w:style>
  <w:style w:type="paragraph" w:styleId="BalloonText">
    <w:name w:val="Balloon Text"/>
    <w:basedOn w:val="Normal"/>
    <w:link w:val="BalloonTextChar"/>
    <w:uiPriority w:val="99"/>
    <w:semiHidden/>
    <w:unhideWhenUsed/>
    <w:rsid w:val="009F18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8E7"/>
    <w:rPr>
      <w:rFonts w:ascii="Tahoma" w:hAnsi="Tahoma" w:cs="Tahoma"/>
      <w:sz w:val="16"/>
      <w:szCs w:val="16"/>
    </w:rPr>
  </w:style>
  <w:style w:type="paragraph" w:styleId="Header">
    <w:name w:val="header"/>
    <w:basedOn w:val="Normal"/>
    <w:link w:val="HeaderChar"/>
    <w:uiPriority w:val="99"/>
    <w:unhideWhenUsed/>
    <w:rsid w:val="009F18E7"/>
    <w:pPr>
      <w:tabs>
        <w:tab w:val="center" w:pos="4513"/>
        <w:tab w:val="right" w:pos="9026"/>
      </w:tabs>
      <w:spacing w:after="0"/>
    </w:pPr>
  </w:style>
  <w:style w:type="character" w:customStyle="1" w:styleId="HeaderChar">
    <w:name w:val="Header Char"/>
    <w:basedOn w:val="DefaultParagraphFont"/>
    <w:link w:val="Header"/>
    <w:uiPriority w:val="99"/>
    <w:rsid w:val="009F18E7"/>
  </w:style>
  <w:style w:type="paragraph" w:styleId="Footer">
    <w:name w:val="footer"/>
    <w:basedOn w:val="Normal"/>
    <w:link w:val="FooterChar"/>
    <w:uiPriority w:val="99"/>
    <w:unhideWhenUsed/>
    <w:rsid w:val="009F18E7"/>
    <w:pPr>
      <w:tabs>
        <w:tab w:val="center" w:pos="4513"/>
        <w:tab w:val="right" w:pos="9026"/>
      </w:tabs>
      <w:spacing w:after="0"/>
    </w:pPr>
  </w:style>
  <w:style w:type="character" w:customStyle="1" w:styleId="FooterChar">
    <w:name w:val="Footer Char"/>
    <w:basedOn w:val="DefaultParagraphFont"/>
    <w:link w:val="Footer"/>
    <w:uiPriority w:val="99"/>
    <w:rsid w:val="009F18E7"/>
  </w:style>
  <w:style w:type="table" w:styleId="TableGrid">
    <w:name w:val="Table Grid"/>
    <w:basedOn w:val="TableNormal"/>
    <w:uiPriority w:val="59"/>
    <w:rsid w:val="009F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Nameofmeeting">
    <w:name w:val="Header - Name of meeting"/>
    <w:basedOn w:val="Normal"/>
    <w:link w:val="Header-NameofmeetingChar"/>
    <w:qFormat/>
    <w:rsid w:val="00DB6912"/>
    <w:pPr>
      <w:spacing w:before="240" w:after="0"/>
    </w:pPr>
    <w:rPr>
      <w:rFonts w:asciiTheme="majorHAnsi" w:hAnsiTheme="majorHAnsi"/>
      <w:color w:val="17365D" w:themeColor="text2" w:themeShade="BF"/>
      <w:sz w:val="32"/>
      <w:szCs w:val="32"/>
    </w:rPr>
  </w:style>
  <w:style w:type="paragraph" w:customStyle="1" w:styleId="Logo">
    <w:name w:val="Logo"/>
    <w:basedOn w:val="Normal"/>
    <w:link w:val="LogoChar"/>
    <w:qFormat/>
    <w:rsid w:val="00DB6912"/>
    <w:pPr>
      <w:jc w:val="right"/>
    </w:pPr>
  </w:style>
  <w:style w:type="character" w:customStyle="1" w:styleId="Header-NameofmeetingChar">
    <w:name w:val="Header - Name of meeting Char"/>
    <w:basedOn w:val="DefaultParagraphFont"/>
    <w:link w:val="Header-Nameofmeeting"/>
    <w:rsid w:val="00DB6912"/>
    <w:rPr>
      <w:rFonts w:asciiTheme="majorHAnsi" w:hAnsiTheme="majorHAnsi"/>
      <w:color w:val="17365D" w:themeColor="text2" w:themeShade="BF"/>
      <w:sz w:val="32"/>
      <w:szCs w:val="32"/>
    </w:rPr>
  </w:style>
  <w:style w:type="paragraph" w:customStyle="1" w:styleId="Tableprompt">
    <w:name w:val="Table prompt"/>
    <w:basedOn w:val="Normal"/>
    <w:link w:val="TablepromptChar"/>
    <w:qFormat/>
    <w:rsid w:val="00AC38BF"/>
    <w:pPr>
      <w:keepNext/>
    </w:pPr>
    <w:rPr>
      <w:b/>
      <w:u w:color="000000"/>
    </w:rPr>
  </w:style>
  <w:style w:type="character" w:customStyle="1" w:styleId="LogoChar">
    <w:name w:val="Logo Char"/>
    <w:basedOn w:val="DefaultParagraphFont"/>
    <w:link w:val="Logo"/>
    <w:rsid w:val="00DB6912"/>
  </w:style>
  <w:style w:type="paragraph" w:styleId="NoSpacing">
    <w:name w:val="No Spacing"/>
    <w:basedOn w:val="Normal"/>
    <w:uiPriority w:val="1"/>
    <w:qFormat/>
    <w:rsid w:val="00DB6912"/>
    <w:rPr>
      <w:sz w:val="16"/>
    </w:rPr>
  </w:style>
  <w:style w:type="character" w:customStyle="1" w:styleId="TablepromptChar">
    <w:name w:val="Table prompt Char"/>
    <w:basedOn w:val="DefaultParagraphFont"/>
    <w:link w:val="Tableprompt"/>
    <w:rsid w:val="00AC38BF"/>
    <w:rPr>
      <w:rFonts w:ascii="Arial" w:hAnsi="Arial" w:cs="Arial"/>
      <w:b/>
      <w:u w:color="000000"/>
    </w:rPr>
  </w:style>
  <w:style w:type="character" w:customStyle="1" w:styleId="Style1">
    <w:name w:val="Style1"/>
    <w:basedOn w:val="TablepromptChar"/>
    <w:uiPriority w:val="1"/>
    <w:rsid w:val="00600830"/>
    <w:rPr>
      <w:rFonts w:ascii="Arial" w:hAnsi="Arial" w:cs="Arial"/>
      <w:b/>
      <w:u w:color="000000"/>
    </w:rPr>
  </w:style>
  <w:style w:type="paragraph" w:customStyle="1" w:styleId="YES">
    <w:name w:val="YES"/>
    <w:basedOn w:val="Normal"/>
    <w:link w:val="YESChar"/>
    <w:qFormat/>
    <w:rsid w:val="00DB6912"/>
    <w:rPr>
      <w:b/>
      <w:color w:val="FF0000"/>
    </w:rPr>
  </w:style>
  <w:style w:type="paragraph" w:customStyle="1" w:styleId="No">
    <w:name w:val="No"/>
    <w:basedOn w:val="YES"/>
    <w:link w:val="NoChar"/>
    <w:qFormat/>
    <w:rsid w:val="00DB6912"/>
    <w:rPr>
      <w:color w:val="00B050"/>
    </w:rPr>
  </w:style>
  <w:style w:type="character" w:customStyle="1" w:styleId="YESChar">
    <w:name w:val="YES Char"/>
    <w:basedOn w:val="DefaultParagraphFont"/>
    <w:link w:val="YES"/>
    <w:rsid w:val="00DB6912"/>
    <w:rPr>
      <w:b/>
      <w:color w:val="FF0000"/>
    </w:rPr>
  </w:style>
  <w:style w:type="character" w:customStyle="1" w:styleId="NoChar">
    <w:name w:val="No Char"/>
    <w:basedOn w:val="YESChar"/>
    <w:link w:val="No"/>
    <w:rsid w:val="00DB6912"/>
    <w:rPr>
      <w:b/>
      <w:color w:val="00B050"/>
    </w:rPr>
  </w:style>
  <w:style w:type="paragraph" w:customStyle="1" w:styleId="Bullets">
    <w:name w:val="Bullets"/>
    <w:basedOn w:val="Normal"/>
    <w:link w:val="BulletsChar"/>
    <w:qFormat/>
    <w:rsid w:val="00DB6912"/>
    <w:pPr>
      <w:keepNext/>
      <w:numPr>
        <w:numId w:val="1"/>
      </w:numPr>
      <w:spacing w:before="120" w:after="0" w:line="240" w:lineRule="atLeast"/>
      <w:jc w:val="both"/>
    </w:pPr>
    <w:rPr>
      <w:rFonts w:ascii="Calibri" w:eastAsia="MS Mincho" w:hAnsi="Calibri" w:cs="Calibri"/>
      <w:kern w:val="18"/>
      <w:szCs w:val="20"/>
      <w:lang w:eastAsia="en-GB"/>
    </w:rPr>
  </w:style>
  <w:style w:type="character" w:customStyle="1" w:styleId="BulletsChar">
    <w:name w:val="Bullets Char"/>
    <w:link w:val="Bullets"/>
    <w:rsid w:val="00DB6912"/>
    <w:rPr>
      <w:rFonts w:ascii="Calibri" w:eastAsia="MS Mincho" w:hAnsi="Calibri" w:cs="Calibri"/>
      <w:kern w:val="18"/>
      <w:szCs w:val="20"/>
      <w:lang w:eastAsia="en-GB"/>
    </w:rPr>
  </w:style>
  <w:style w:type="paragraph" w:styleId="ListParagraph">
    <w:name w:val="List Paragraph"/>
    <w:basedOn w:val="Normal"/>
    <w:link w:val="ListParagraphChar"/>
    <w:uiPriority w:val="34"/>
    <w:qFormat/>
    <w:rsid w:val="00DB6912"/>
    <w:pPr>
      <w:ind w:left="720"/>
      <w:contextualSpacing/>
    </w:pPr>
  </w:style>
  <w:style w:type="character" w:customStyle="1" w:styleId="Heading1Char">
    <w:name w:val="Heading 1 Char"/>
    <w:basedOn w:val="DefaultParagraphFont"/>
    <w:link w:val="Heading1"/>
    <w:uiPriority w:val="9"/>
    <w:rsid w:val="00DB691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B691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6912"/>
    <w:rPr>
      <w:rFonts w:asciiTheme="majorHAnsi" w:eastAsiaTheme="majorEastAsia" w:hAnsiTheme="majorHAnsi" w:cstheme="majorBidi"/>
      <w:color w:val="17365D" w:themeColor="text2" w:themeShade="BF"/>
      <w:spacing w:val="5"/>
      <w:kern w:val="28"/>
      <w:sz w:val="52"/>
      <w:szCs w:val="52"/>
    </w:rPr>
  </w:style>
  <w:style w:type="character" w:customStyle="1" w:styleId="Meeting">
    <w:name w:val="Meeting"/>
    <w:basedOn w:val="DefaultParagraphFont"/>
    <w:uiPriority w:val="1"/>
    <w:rsid w:val="00DB6912"/>
    <w:rPr>
      <w:b/>
      <w:sz w:val="28"/>
    </w:rPr>
  </w:style>
  <w:style w:type="character" w:customStyle="1" w:styleId="Style2">
    <w:name w:val="Style2"/>
    <w:basedOn w:val="DefaultParagraphFont"/>
    <w:uiPriority w:val="1"/>
    <w:rsid w:val="00DB6912"/>
    <w:rPr>
      <w:rFonts w:ascii="Arial" w:hAnsi="Arial"/>
      <w:b/>
      <w:sz w:val="28"/>
    </w:rPr>
  </w:style>
  <w:style w:type="character" w:customStyle="1" w:styleId="ListParagraphChar">
    <w:name w:val="List Paragraph Char"/>
    <w:link w:val="ListParagraph"/>
    <w:uiPriority w:val="34"/>
    <w:rsid w:val="00D50E27"/>
    <w:rPr>
      <w:rFonts w:ascii="Arial" w:hAnsi="Arial" w:cs="Arial"/>
    </w:rPr>
  </w:style>
  <w:style w:type="paragraph" w:customStyle="1" w:styleId="Default">
    <w:name w:val="Default"/>
    <w:rsid w:val="00403EA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2724E"/>
    <w:rPr>
      <w:sz w:val="16"/>
      <w:szCs w:val="16"/>
    </w:rPr>
  </w:style>
  <w:style w:type="paragraph" w:styleId="CommentText">
    <w:name w:val="annotation text"/>
    <w:basedOn w:val="Normal"/>
    <w:link w:val="CommentTextChar"/>
    <w:uiPriority w:val="99"/>
    <w:semiHidden/>
    <w:unhideWhenUsed/>
    <w:rsid w:val="0052724E"/>
    <w:rPr>
      <w:sz w:val="20"/>
      <w:szCs w:val="20"/>
    </w:rPr>
  </w:style>
  <w:style w:type="character" w:customStyle="1" w:styleId="CommentTextChar">
    <w:name w:val="Comment Text Char"/>
    <w:basedOn w:val="DefaultParagraphFont"/>
    <w:link w:val="CommentText"/>
    <w:uiPriority w:val="99"/>
    <w:semiHidden/>
    <w:rsid w:val="0052724E"/>
    <w:rPr>
      <w:rFonts w:ascii="Arial" w:hAnsi="Arial" w:cs="Arial"/>
      <w:sz w:val="20"/>
      <w:szCs w:val="20"/>
    </w:rPr>
  </w:style>
  <w:style w:type="character" w:customStyle="1" w:styleId="citation">
    <w:name w:val="citation"/>
    <w:basedOn w:val="DefaultParagraphFont"/>
    <w:rsid w:val="00527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66951">
      <w:bodyDiv w:val="1"/>
      <w:marLeft w:val="0"/>
      <w:marRight w:val="0"/>
      <w:marTop w:val="0"/>
      <w:marBottom w:val="0"/>
      <w:divBdr>
        <w:top w:val="none" w:sz="0" w:space="0" w:color="auto"/>
        <w:left w:val="none" w:sz="0" w:space="0" w:color="auto"/>
        <w:bottom w:val="none" w:sz="0" w:space="0" w:color="auto"/>
        <w:right w:val="none" w:sz="0" w:space="0" w:color="auto"/>
      </w:divBdr>
      <w:divsChild>
        <w:div w:id="560822420">
          <w:marLeft w:val="274"/>
          <w:marRight w:val="0"/>
          <w:marTop w:val="0"/>
          <w:marBottom w:val="0"/>
          <w:divBdr>
            <w:top w:val="none" w:sz="0" w:space="0" w:color="auto"/>
            <w:left w:val="none" w:sz="0" w:space="0" w:color="auto"/>
            <w:bottom w:val="none" w:sz="0" w:space="0" w:color="auto"/>
            <w:right w:val="none" w:sz="0" w:space="0" w:color="auto"/>
          </w:divBdr>
        </w:div>
        <w:div w:id="620649215">
          <w:marLeft w:val="274"/>
          <w:marRight w:val="0"/>
          <w:marTop w:val="0"/>
          <w:marBottom w:val="0"/>
          <w:divBdr>
            <w:top w:val="none" w:sz="0" w:space="0" w:color="auto"/>
            <w:left w:val="none" w:sz="0" w:space="0" w:color="auto"/>
            <w:bottom w:val="none" w:sz="0" w:space="0" w:color="auto"/>
            <w:right w:val="none" w:sz="0" w:space="0" w:color="auto"/>
          </w:divBdr>
        </w:div>
        <w:div w:id="662514390">
          <w:marLeft w:val="274"/>
          <w:marRight w:val="0"/>
          <w:marTop w:val="0"/>
          <w:marBottom w:val="0"/>
          <w:divBdr>
            <w:top w:val="none" w:sz="0" w:space="0" w:color="auto"/>
            <w:left w:val="none" w:sz="0" w:space="0" w:color="auto"/>
            <w:bottom w:val="none" w:sz="0" w:space="0" w:color="auto"/>
            <w:right w:val="none" w:sz="0" w:space="0" w:color="auto"/>
          </w:divBdr>
        </w:div>
        <w:div w:id="1026911539">
          <w:marLeft w:val="274"/>
          <w:marRight w:val="0"/>
          <w:marTop w:val="0"/>
          <w:marBottom w:val="0"/>
          <w:divBdr>
            <w:top w:val="none" w:sz="0" w:space="0" w:color="auto"/>
            <w:left w:val="none" w:sz="0" w:space="0" w:color="auto"/>
            <w:bottom w:val="none" w:sz="0" w:space="0" w:color="auto"/>
            <w:right w:val="none" w:sz="0" w:space="0" w:color="auto"/>
          </w:divBdr>
        </w:div>
        <w:div w:id="19315817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hounslowccg.nhs.uk/"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B1D449CF6F41BB8D418F1DF17E51FD"/>
        <w:category>
          <w:name w:val="General"/>
          <w:gallery w:val="placeholder"/>
        </w:category>
        <w:types>
          <w:type w:val="bbPlcHdr"/>
        </w:types>
        <w:behaviors>
          <w:behavior w:val="content"/>
        </w:behaviors>
        <w:guid w:val="{3A33C2CD-6572-44EF-9EBE-7CB0D3F6FC1B}"/>
      </w:docPartPr>
      <w:docPartBody>
        <w:p w:rsidR="00CF1030" w:rsidRDefault="00CF1030">
          <w:pPr>
            <w:pStyle w:val="96B1D449CF6F41BB8D418F1DF17E51FD"/>
          </w:pPr>
          <w:r w:rsidRPr="008C0CB4">
            <w:rPr>
              <w:rStyle w:val="PlaceholderText"/>
            </w:rPr>
            <w:t>Click here to enter a date.</w:t>
          </w:r>
        </w:p>
      </w:docPartBody>
    </w:docPart>
    <w:docPart>
      <w:docPartPr>
        <w:name w:val="DB1412C7E7EB4AD1B8AC2DE39AC5AF64"/>
        <w:category>
          <w:name w:val="General"/>
          <w:gallery w:val="placeholder"/>
        </w:category>
        <w:types>
          <w:type w:val="bbPlcHdr"/>
        </w:types>
        <w:behaviors>
          <w:behavior w:val="content"/>
        </w:behaviors>
        <w:guid w:val="{AF423436-CAFC-4C23-8039-FD9099687730}"/>
      </w:docPartPr>
      <w:docPartBody>
        <w:p w:rsidR="00CF1030" w:rsidRDefault="00CF1030">
          <w:pPr>
            <w:pStyle w:val="DB1412C7E7EB4AD1B8AC2DE39AC5AF64"/>
          </w:pPr>
          <w:r w:rsidRPr="008C0CB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030"/>
    <w:rsid w:val="002742A5"/>
    <w:rsid w:val="00736032"/>
    <w:rsid w:val="009C2F9C"/>
    <w:rsid w:val="00AA5588"/>
    <w:rsid w:val="00CF1030"/>
    <w:rsid w:val="00D058E1"/>
    <w:rsid w:val="00D84AFD"/>
    <w:rsid w:val="00E722D4"/>
    <w:rsid w:val="00EF6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8E1"/>
    <w:rPr>
      <w:color w:val="808080"/>
    </w:rPr>
  </w:style>
  <w:style w:type="paragraph" w:customStyle="1" w:styleId="96B1D449CF6F41BB8D418F1DF17E51FD">
    <w:name w:val="96B1D449CF6F41BB8D418F1DF17E51FD"/>
  </w:style>
  <w:style w:type="paragraph" w:customStyle="1" w:styleId="DB1412C7E7EB4AD1B8AC2DE39AC5AF64">
    <w:name w:val="DB1412C7E7EB4AD1B8AC2DE39AC5AF64"/>
  </w:style>
  <w:style w:type="paragraph" w:customStyle="1" w:styleId="FCD6E762CF194758BE01075D394EBB04">
    <w:name w:val="FCD6E762CF194758BE01075D394EBB04"/>
    <w:rsid w:val="00D058E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8E1"/>
    <w:rPr>
      <w:color w:val="808080"/>
    </w:rPr>
  </w:style>
  <w:style w:type="paragraph" w:customStyle="1" w:styleId="96B1D449CF6F41BB8D418F1DF17E51FD">
    <w:name w:val="96B1D449CF6F41BB8D418F1DF17E51FD"/>
  </w:style>
  <w:style w:type="paragraph" w:customStyle="1" w:styleId="DB1412C7E7EB4AD1B8AC2DE39AC5AF64">
    <w:name w:val="DB1412C7E7EB4AD1B8AC2DE39AC5AF64"/>
  </w:style>
  <w:style w:type="paragraph" w:customStyle="1" w:styleId="FCD6E762CF194758BE01075D394EBB04">
    <w:name w:val="FCD6E762CF194758BE01075D394EBB04"/>
    <w:rsid w:val="00D058E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B7193-5036-4F24-BB2B-3DC34784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INWL Primary Care Trusts</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Sara Nelson</cp:lastModifiedBy>
  <cp:revision>3</cp:revision>
  <cp:lastPrinted>2016-02-03T13:58:00Z</cp:lastPrinted>
  <dcterms:created xsi:type="dcterms:W3CDTF">2016-02-03T13:59:00Z</dcterms:created>
  <dcterms:modified xsi:type="dcterms:W3CDTF">2016-02-23T10:54:00Z</dcterms:modified>
</cp:coreProperties>
</file>