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2BA33" w14:textId="6DFADC53" w:rsidR="00261079" w:rsidRDefault="00261079" w:rsidP="00261079">
      <w:pPr>
        <w:jc w:val="center"/>
        <w:rPr>
          <w:b/>
        </w:rPr>
      </w:pPr>
      <w:bookmarkStart w:id="0" w:name="_GoBack"/>
      <w:r w:rsidRPr="00261079">
        <w:rPr>
          <w:b/>
        </w:rPr>
        <w:t>London asthma standards</w:t>
      </w:r>
      <w:r>
        <w:rPr>
          <w:b/>
        </w:rPr>
        <w:t xml:space="preserve"> </w:t>
      </w:r>
      <w:r w:rsidRPr="00261079">
        <w:rPr>
          <w:b/>
        </w:rPr>
        <w:t>for children and young people</w:t>
      </w:r>
      <w:r>
        <w:rPr>
          <w:b/>
        </w:rPr>
        <w:t xml:space="preserve"> – Example Audit for Prescribing in Primary Care</w:t>
      </w:r>
    </w:p>
    <w:p w14:paraId="7332A406" w14:textId="77777777" w:rsidR="00261079" w:rsidRDefault="00261079">
      <w:pPr>
        <w:rPr>
          <w:b/>
        </w:rPr>
      </w:pPr>
    </w:p>
    <w:p w14:paraId="7BCEC998" w14:textId="4D272880" w:rsidR="009F177A" w:rsidRPr="00261079" w:rsidRDefault="001D1C86">
      <w:pPr>
        <w:rPr>
          <w:b/>
        </w:rPr>
      </w:pPr>
      <w:r w:rsidRPr="00261079">
        <w:rPr>
          <w:b/>
        </w:rPr>
        <w:t>Data Collection</w:t>
      </w:r>
    </w:p>
    <w:tbl>
      <w:tblPr>
        <w:tblStyle w:val="TableGrid"/>
        <w:tblW w:w="13948" w:type="dxa"/>
        <w:tblLook w:val="04A0" w:firstRow="1" w:lastRow="0" w:firstColumn="1" w:lastColumn="0" w:noHBand="0" w:noVBand="1"/>
      </w:tblPr>
      <w:tblGrid>
        <w:gridCol w:w="1208"/>
        <w:gridCol w:w="882"/>
        <w:gridCol w:w="1224"/>
        <w:gridCol w:w="1590"/>
        <w:gridCol w:w="1469"/>
        <w:gridCol w:w="1304"/>
        <w:gridCol w:w="1477"/>
        <w:gridCol w:w="1118"/>
        <w:gridCol w:w="2056"/>
        <w:gridCol w:w="1620"/>
      </w:tblGrid>
      <w:tr w:rsidR="009F177A" w14:paraId="1CA4C2B0" w14:textId="77777777" w:rsidTr="009F177A">
        <w:tc>
          <w:tcPr>
            <w:tcW w:w="13948" w:type="dxa"/>
            <w:gridSpan w:val="10"/>
          </w:tcPr>
          <w:p w14:paraId="65B64531" w14:textId="77777777" w:rsidR="009F177A" w:rsidRPr="009F177A" w:rsidRDefault="009F177A" w:rsidP="009F177A">
            <w:pPr>
              <w:rPr>
                <w:b/>
              </w:rPr>
            </w:pPr>
            <w:r w:rsidRPr="009F177A">
              <w:rPr>
                <w:b/>
              </w:rPr>
              <w:t>ALL CYP</w:t>
            </w:r>
          </w:p>
          <w:p w14:paraId="3D4BB67E" w14:textId="77777777" w:rsidR="009F177A" w:rsidRDefault="009F177A"/>
        </w:tc>
      </w:tr>
      <w:tr w:rsidR="005F561F" w14:paraId="00002146" w14:textId="77777777" w:rsidTr="009F177A">
        <w:tc>
          <w:tcPr>
            <w:tcW w:w="1369" w:type="dxa"/>
          </w:tcPr>
          <w:p w14:paraId="77CD9547" w14:textId="0A8CD0C6" w:rsidR="009F177A" w:rsidRDefault="009F177A" w:rsidP="009F177A">
            <w:r w:rsidRPr="009F177A">
              <w:t>Patient ID</w:t>
            </w:r>
          </w:p>
        </w:tc>
        <w:tc>
          <w:tcPr>
            <w:tcW w:w="882" w:type="dxa"/>
          </w:tcPr>
          <w:p w14:paraId="24E4BF9A" w14:textId="5731E1C4" w:rsidR="009F177A" w:rsidRDefault="009F177A" w:rsidP="009F177A">
            <w:r>
              <w:t>Age</w:t>
            </w:r>
          </w:p>
        </w:tc>
        <w:tc>
          <w:tcPr>
            <w:tcW w:w="1269" w:type="dxa"/>
          </w:tcPr>
          <w:p w14:paraId="769745B1" w14:textId="2FAF11FE" w:rsidR="009F177A" w:rsidRDefault="009F177A" w:rsidP="009F177A">
            <w:r>
              <w:t>Current Treatment</w:t>
            </w:r>
          </w:p>
        </w:tc>
        <w:tc>
          <w:tcPr>
            <w:tcW w:w="1862" w:type="dxa"/>
          </w:tcPr>
          <w:p w14:paraId="245993D5" w14:textId="6A52056D" w:rsidR="009F177A" w:rsidRDefault="009F177A" w:rsidP="009F177A">
            <w:r w:rsidRPr="001D1C86">
              <w:t>Current BTS Step</w:t>
            </w:r>
          </w:p>
        </w:tc>
        <w:tc>
          <w:tcPr>
            <w:tcW w:w="1216" w:type="dxa"/>
          </w:tcPr>
          <w:p w14:paraId="1B892806" w14:textId="67A723BA" w:rsidR="009F177A" w:rsidRDefault="009F177A" w:rsidP="009F177A">
            <w:r w:rsidRPr="001D1C86">
              <w:t>Personal action plan in place?</w:t>
            </w:r>
          </w:p>
        </w:tc>
        <w:tc>
          <w:tcPr>
            <w:tcW w:w="1403" w:type="dxa"/>
          </w:tcPr>
          <w:p w14:paraId="77D13941" w14:textId="5457D4E2" w:rsidR="009F177A" w:rsidRDefault="009F177A" w:rsidP="009F177A">
            <w:r w:rsidRPr="001D1C86">
              <w:t>Inhaler technique assessed</w:t>
            </w:r>
            <w:r>
              <w:t xml:space="preserve"> in previous 12 months</w:t>
            </w:r>
          </w:p>
        </w:tc>
        <w:tc>
          <w:tcPr>
            <w:tcW w:w="1538" w:type="dxa"/>
          </w:tcPr>
          <w:p w14:paraId="308E72F7" w14:textId="2E47666F" w:rsidR="009F177A" w:rsidRDefault="009F177A" w:rsidP="009F177A">
            <w:r w:rsidRPr="001D1C86">
              <w:t>If MDI prescribed</w:t>
            </w:r>
            <w:r w:rsidR="005F561F">
              <w:t>,</w:t>
            </w:r>
            <w:r w:rsidRPr="001D1C86">
              <w:t xml:space="preserve"> has spacer been provided</w:t>
            </w:r>
            <w:r>
              <w:t xml:space="preserve"> in previous 12 months</w:t>
            </w:r>
            <w:r w:rsidRPr="001D1C86">
              <w:t>?</w:t>
            </w:r>
          </w:p>
        </w:tc>
        <w:tc>
          <w:tcPr>
            <w:tcW w:w="1214" w:type="dxa"/>
          </w:tcPr>
          <w:p w14:paraId="63DD4D69" w14:textId="027F4D4B" w:rsidR="009F177A" w:rsidRDefault="009F177A" w:rsidP="009F177A">
            <w:r w:rsidRPr="001D1C86">
              <w:t>No. of relievers in past 12 months</w:t>
            </w:r>
          </w:p>
        </w:tc>
        <w:tc>
          <w:tcPr>
            <w:tcW w:w="1260" w:type="dxa"/>
          </w:tcPr>
          <w:p w14:paraId="3BEFB3A0" w14:textId="68C4F8EE" w:rsidR="009F177A" w:rsidRDefault="009F177A" w:rsidP="009F177A">
            <w:r>
              <w:t>Flu Vaccination Offered in Previous 12 months</w:t>
            </w:r>
          </w:p>
        </w:tc>
        <w:tc>
          <w:tcPr>
            <w:tcW w:w="1935" w:type="dxa"/>
          </w:tcPr>
          <w:p w14:paraId="75CACBFA" w14:textId="68DAB2EF" w:rsidR="009F177A" w:rsidRDefault="009F177A" w:rsidP="009F177A">
            <w:r>
              <w:t>Comments</w:t>
            </w:r>
          </w:p>
        </w:tc>
      </w:tr>
      <w:tr w:rsidR="005F561F" w14:paraId="4D0AA459" w14:textId="77777777" w:rsidTr="009F177A">
        <w:tc>
          <w:tcPr>
            <w:tcW w:w="1369" w:type="dxa"/>
          </w:tcPr>
          <w:p w14:paraId="200919D4" w14:textId="2FD80B6F" w:rsidR="009F177A" w:rsidRPr="005F561F" w:rsidRDefault="005F561F" w:rsidP="009F177A">
            <w:pPr>
              <w:rPr>
                <w:i/>
                <w:color w:val="FF0000"/>
              </w:rPr>
            </w:pPr>
            <w:r w:rsidRPr="005F561F">
              <w:rPr>
                <w:i/>
                <w:color w:val="FF0000"/>
              </w:rPr>
              <w:t>e.g. 1234</w:t>
            </w:r>
          </w:p>
        </w:tc>
        <w:tc>
          <w:tcPr>
            <w:tcW w:w="882" w:type="dxa"/>
          </w:tcPr>
          <w:p w14:paraId="1830919E" w14:textId="7393B687" w:rsidR="009F177A" w:rsidRPr="005F561F" w:rsidRDefault="005F561F" w:rsidP="005F561F">
            <w:pPr>
              <w:rPr>
                <w:i/>
                <w:color w:val="FF0000"/>
              </w:rPr>
            </w:pPr>
            <w:r w:rsidRPr="005F561F">
              <w:rPr>
                <w:i/>
                <w:color w:val="FF0000"/>
              </w:rPr>
              <w:t>11</w:t>
            </w:r>
          </w:p>
        </w:tc>
        <w:tc>
          <w:tcPr>
            <w:tcW w:w="1269" w:type="dxa"/>
          </w:tcPr>
          <w:p w14:paraId="1A4F131F" w14:textId="6A70557A" w:rsidR="009F177A" w:rsidRPr="005F561F" w:rsidRDefault="005F561F" w:rsidP="005F561F">
            <w:pPr>
              <w:rPr>
                <w:i/>
                <w:color w:val="FF0000"/>
              </w:rPr>
            </w:pPr>
            <w:r>
              <w:rPr>
                <w:i/>
                <w:color w:val="FF0000"/>
              </w:rPr>
              <w:t>Inhaler + dose</w:t>
            </w:r>
          </w:p>
        </w:tc>
        <w:tc>
          <w:tcPr>
            <w:tcW w:w="1862" w:type="dxa"/>
          </w:tcPr>
          <w:p w14:paraId="669D52FE" w14:textId="05EB2DD0" w:rsidR="009F177A" w:rsidRPr="005F561F" w:rsidRDefault="005F561F" w:rsidP="009F177A">
            <w:pPr>
              <w:rPr>
                <w:i/>
                <w:color w:val="FF0000"/>
              </w:rPr>
            </w:pPr>
            <w:r w:rsidRPr="005F561F">
              <w:rPr>
                <w:i/>
                <w:color w:val="FF0000"/>
              </w:rPr>
              <w:t>1</w:t>
            </w:r>
            <w:r>
              <w:rPr>
                <w:i/>
                <w:color w:val="FF0000"/>
              </w:rPr>
              <w:t>, 2,3,4,5</w:t>
            </w:r>
          </w:p>
        </w:tc>
        <w:tc>
          <w:tcPr>
            <w:tcW w:w="1216" w:type="dxa"/>
          </w:tcPr>
          <w:p w14:paraId="3C85C619" w14:textId="3ABB7598" w:rsidR="009F177A" w:rsidRPr="005F561F" w:rsidRDefault="005F561F" w:rsidP="009F177A">
            <w:pPr>
              <w:rPr>
                <w:i/>
                <w:color w:val="FF0000"/>
              </w:rPr>
            </w:pPr>
            <w:r>
              <w:rPr>
                <w:i/>
                <w:color w:val="FF0000"/>
              </w:rPr>
              <w:t>Yes/</w:t>
            </w:r>
            <w:r w:rsidRPr="005F561F">
              <w:rPr>
                <w:i/>
                <w:color w:val="FF0000"/>
              </w:rPr>
              <w:t>no</w:t>
            </w:r>
          </w:p>
        </w:tc>
        <w:tc>
          <w:tcPr>
            <w:tcW w:w="1403" w:type="dxa"/>
          </w:tcPr>
          <w:p w14:paraId="730D6F2A" w14:textId="3A66270A" w:rsidR="009F177A" w:rsidRPr="005F561F" w:rsidRDefault="005F561F" w:rsidP="009F177A">
            <w:pPr>
              <w:rPr>
                <w:i/>
                <w:color w:val="FF0000"/>
              </w:rPr>
            </w:pPr>
            <w:r w:rsidRPr="005F561F">
              <w:rPr>
                <w:i/>
                <w:color w:val="FF0000"/>
              </w:rPr>
              <w:t>Yes</w:t>
            </w:r>
            <w:r>
              <w:rPr>
                <w:i/>
                <w:color w:val="FF0000"/>
              </w:rPr>
              <w:t>/no</w:t>
            </w:r>
          </w:p>
        </w:tc>
        <w:tc>
          <w:tcPr>
            <w:tcW w:w="1538" w:type="dxa"/>
          </w:tcPr>
          <w:p w14:paraId="656EA667" w14:textId="3A3D6AD0" w:rsidR="009F177A" w:rsidRPr="005F561F" w:rsidRDefault="005F561F" w:rsidP="009F177A">
            <w:pPr>
              <w:rPr>
                <w:i/>
                <w:color w:val="FF0000"/>
              </w:rPr>
            </w:pPr>
            <w:r w:rsidRPr="005F561F">
              <w:rPr>
                <w:i/>
                <w:color w:val="FF0000"/>
              </w:rPr>
              <w:t>Yes</w:t>
            </w:r>
            <w:r>
              <w:rPr>
                <w:i/>
                <w:color w:val="FF0000"/>
              </w:rPr>
              <w:t>/no</w:t>
            </w:r>
          </w:p>
        </w:tc>
        <w:tc>
          <w:tcPr>
            <w:tcW w:w="1214" w:type="dxa"/>
          </w:tcPr>
          <w:p w14:paraId="60F298E7" w14:textId="470A3331" w:rsidR="009F177A" w:rsidRPr="005F561F" w:rsidRDefault="005F561F" w:rsidP="009F177A">
            <w:pPr>
              <w:rPr>
                <w:i/>
                <w:color w:val="FF0000"/>
              </w:rPr>
            </w:pPr>
            <w:r w:rsidRPr="005F561F">
              <w:rPr>
                <w:i/>
                <w:color w:val="FF0000"/>
              </w:rPr>
              <w:t>18</w:t>
            </w:r>
          </w:p>
        </w:tc>
        <w:tc>
          <w:tcPr>
            <w:tcW w:w="1260" w:type="dxa"/>
          </w:tcPr>
          <w:p w14:paraId="55E0CDCD" w14:textId="24F0DFC3" w:rsidR="009F177A" w:rsidRPr="005F561F" w:rsidRDefault="005F561F" w:rsidP="009F177A">
            <w:pPr>
              <w:rPr>
                <w:i/>
                <w:color w:val="FF0000"/>
              </w:rPr>
            </w:pPr>
            <w:r w:rsidRPr="005F561F">
              <w:rPr>
                <w:i/>
                <w:color w:val="FF0000"/>
              </w:rPr>
              <w:t>Vaccinated/Declined</w:t>
            </w:r>
          </w:p>
        </w:tc>
        <w:tc>
          <w:tcPr>
            <w:tcW w:w="1935" w:type="dxa"/>
          </w:tcPr>
          <w:p w14:paraId="2C44234A" w14:textId="77777777" w:rsidR="009F177A" w:rsidRDefault="009F177A" w:rsidP="009F177A"/>
        </w:tc>
      </w:tr>
      <w:tr w:rsidR="005F561F" w14:paraId="5123F645" w14:textId="77777777" w:rsidTr="009F177A">
        <w:tc>
          <w:tcPr>
            <w:tcW w:w="1369" w:type="dxa"/>
          </w:tcPr>
          <w:p w14:paraId="787F2A99" w14:textId="77777777" w:rsidR="009F177A" w:rsidRDefault="009F177A" w:rsidP="009F177A"/>
        </w:tc>
        <w:tc>
          <w:tcPr>
            <w:tcW w:w="882" w:type="dxa"/>
          </w:tcPr>
          <w:p w14:paraId="41921868" w14:textId="77777777" w:rsidR="009F177A" w:rsidRDefault="009F177A" w:rsidP="009F177A"/>
        </w:tc>
        <w:tc>
          <w:tcPr>
            <w:tcW w:w="1269" w:type="dxa"/>
          </w:tcPr>
          <w:p w14:paraId="1CBF2C1E" w14:textId="77777777" w:rsidR="009F177A" w:rsidRDefault="009F177A" w:rsidP="009F177A"/>
        </w:tc>
        <w:tc>
          <w:tcPr>
            <w:tcW w:w="1862" w:type="dxa"/>
          </w:tcPr>
          <w:p w14:paraId="6D0C48AC" w14:textId="77777777" w:rsidR="009F177A" w:rsidRDefault="009F177A" w:rsidP="009F177A"/>
        </w:tc>
        <w:tc>
          <w:tcPr>
            <w:tcW w:w="1216" w:type="dxa"/>
          </w:tcPr>
          <w:p w14:paraId="0B4CDD28" w14:textId="77777777" w:rsidR="009F177A" w:rsidRDefault="009F177A" w:rsidP="009F177A"/>
        </w:tc>
        <w:tc>
          <w:tcPr>
            <w:tcW w:w="1403" w:type="dxa"/>
          </w:tcPr>
          <w:p w14:paraId="1ECD05F3" w14:textId="77777777" w:rsidR="009F177A" w:rsidRDefault="009F177A" w:rsidP="009F177A"/>
        </w:tc>
        <w:tc>
          <w:tcPr>
            <w:tcW w:w="1538" w:type="dxa"/>
          </w:tcPr>
          <w:p w14:paraId="3A69FA84" w14:textId="77777777" w:rsidR="009F177A" w:rsidRDefault="009F177A" w:rsidP="009F177A"/>
        </w:tc>
        <w:tc>
          <w:tcPr>
            <w:tcW w:w="1214" w:type="dxa"/>
          </w:tcPr>
          <w:p w14:paraId="0EBC7F7C" w14:textId="77777777" w:rsidR="009F177A" w:rsidRDefault="009F177A" w:rsidP="009F177A"/>
        </w:tc>
        <w:tc>
          <w:tcPr>
            <w:tcW w:w="1260" w:type="dxa"/>
          </w:tcPr>
          <w:p w14:paraId="7073703E" w14:textId="77777777" w:rsidR="009F177A" w:rsidRDefault="009F177A" w:rsidP="009F177A"/>
        </w:tc>
        <w:tc>
          <w:tcPr>
            <w:tcW w:w="1935" w:type="dxa"/>
          </w:tcPr>
          <w:p w14:paraId="17A5DD35" w14:textId="77777777" w:rsidR="009F177A" w:rsidRDefault="009F177A" w:rsidP="009F177A"/>
        </w:tc>
      </w:tr>
      <w:tr w:rsidR="009F177A" w14:paraId="4CDAF566" w14:textId="77777777" w:rsidTr="00B73B00">
        <w:tc>
          <w:tcPr>
            <w:tcW w:w="13948" w:type="dxa"/>
            <w:gridSpan w:val="10"/>
          </w:tcPr>
          <w:p w14:paraId="1F70FE5D" w14:textId="38CB9174" w:rsidR="009F177A" w:rsidRDefault="009F177A" w:rsidP="009F177A">
            <w:r w:rsidRPr="009F177A">
              <w:t>Data for those taking inhaled ICS</w:t>
            </w:r>
          </w:p>
        </w:tc>
      </w:tr>
      <w:tr w:rsidR="005F561F" w14:paraId="08BA8CC1" w14:textId="77777777" w:rsidTr="009F177A">
        <w:tc>
          <w:tcPr>
            <w:tcW w:w="1369" w:type="dxa"/>
          </w:tcPr>
          <w:p w14:paraId="68C5A247" w14:textId="6545ABB2" w:rsidR="009F177A" w:rsidRDefault="009F177A" w:rsidP="00ED4A9F">
            <w:r w:rsidRPr="001D1C86">
              <w:rPr>
                <w:rFonts w:ascii="Calibri" w:eastAsia="Times New Roman" w:hAnsi="Calibri" w:cs="Times New Roman"/>
                <w:color w:val="000000"/>
                <w:lang w:eastAsia="en-GB"/>
              </w:rPr>
              <w:t xml:space="preserve">No. of </w:t>
            </w:r>
            <w:r w:rsidR="005F561F">
              <w:rPr>
                <w:rFonts w:ascii="Calibri" w:eastAsia="Times New Roman" w:hAnsi="Calibri" w:cs="Times New Roman"/>
                <w:color w:val="000000"/>
                <w:lang w:eastAsia="en-GB"/>
              </w:rPr>
              <w:t xml:space="preserve">ICS </w:t>
            </w:r>
            <w:r>
              <w:rPr>
                <w:rFonts w:ascii="Calibri" w:eastAsia="Times New Roman" w:hAnsi="Calibri" w:cs="Times New Roman"/>
                <w:color w:val="000000"/>
                <w:lang w:eastAsia="en-GB"/>
              </w:rPr>
              <w:t>inhalers</w:t>
            </w:r>
            <w:r w:rsidRPr="001D1C86">
              <w:rPr>
                <w:rFonts w:ascii="Calibri" w:eastAsia="Times New Roman" w:hAnsi="Calibri" w:cs="Times New Roman"/>
                <w:color w:val="000000"/>
                <w:lang w:eastAsia="en-GB"/>
              </w:rPr>
              <w:t xml:space="preserve"> in p</w:t>
            </w:r>
            <w:r w:rsidR="00ED4A9F">
              <w:rPr>
                <w:rFonts w:ascii="Calibri" w:eastAsia="Times New Roman" w:hAnsi="Calibri" w:cs="Times New Roman"/>
                <w:color w:val="000000"/>
                <w:lang w:eastAsia="en-GB"/>
              </w:rPr>
              <w:t>revious</w:t>
            </w:r>
            <w:r w:rsidRPr="001D1C86">
              <w:rPr>
                <w:rFonts w:ascii="Calibri" w:eastAsia="Times New Roman" w:hAnsi="Calibri" w:cs="Times New Roman"/>
                <w:color w:val="000000"/>
                <w:lang w:eastAsia="en-GB"/>
              </w:rPr>
              <w:t xml:space="preserve"> 12 months</w:t>
            </w:r>
          </w:p>
        </w:tc>
        <w:tc>
          <w:tcPr>
            <w:tcW w:w="882" w:type="dxa"/>
          </w:tcPr>
          <w:p w14:paraId="00EF5DA1" w14:textId="6787C5DC" w:rsidR="009F177A" w:rsidRDefault="009F177A" w:rsidP="009F177A">
            <w:r w:rsidRPr="001D1C86">
              <w:rPr>
                <w:rFonts w:ascii="Calibri" w:eastAsia="Times New Roman" w:hAnsi="Calibri" w:cs="Times New Roman"/>
                <w:color w:val="000000"/>
                <w:lang w:eastAsia="en-GB"/>
              </w:rPr>
              <w:t>Steroid card issued?</w:t>
            </w:r>
          </w:p>
        </w:tc>
        <w:tc>
          <w:tcPr>
            <w:tcW w:w="1269" w:type="dxa"/>
          </w:tcPr>
          <w:p w14:paraId="79E7A92D" w14:textId="227CE2E2" w:rsidR="009F177A" w:rsidRDefault="005F561F" w:rsidP="005F561F">
            <w:r>
              <w:rPr>
                <w:rFonts w:ascii="Calibri" w:eastAsia="Times New Roman" w:hAnsi="Calibri" w:cs="Times New Roman"/>
                <w:color w:val="000000"/>
                <w:lang w:eastAsia="en-GB"/>
              </w:rPr>
              <w:t>Date height last measured</w:t>
            </w:r>
          </w:p>
        </w:tc>
        <w:tc>
          <w:tcPr>
            <w:tcW w:w="1862" w:type="dxa"/>
          </w:tcPr>
          <w:p w14:paraId="47520C53" w14:textId="4A2FF561" w:rsidR="009F177A" w:rsidRDefault="009F177A" w:rsidP="009F177A">
            <w:r w:rsidRPr="00A74DE7">
              <w:rPr>
                <w:rFonts w:ascii="Calibri" w:eastAsia="Times New Roman" w:hAnsi="Calibri" w:cs="Times New Roman"/>
                <w:color w:val="000000"/>
                <w:lang w:eastAsia="en-GB"/>
              </w:rPr>
              <w:t>If prescribed &gt; 800mcg of BDP or equivalent, are they under the care of a specialist?</w:t>
            </w:r>
          </w:p>
        </w:tc>
        <w:tc>
          <w:tcPr>
            <w:tcW w:w="1216" w:type="dxa"/>
          </w:tcPr>
          <w:p w14:paraId="31AF9D9A" w14:textId="76AD6757" w:rsidR="009F177A" w:rsidRDefault="009F177A" w:rsidP="00ED4A9F">
            <w:r w:rsidRPr="00A74DE7">
              <w:rPr>
                <w:rFonts w:ascii="Calibri" w:eastAsia="Times New Roman" w:hAnsi="Calibri" w:cs="Times New Roman"/>
                <w:color w:val="000000"/>
                <w:lang w:eastAsia="en-GB"/>
              </w:rPr>
              <w:t>No</w:t>
            </w:r>
            <w:r w:rsidR="00ED4A9F">
              <w:rPr>
                <w:rFonts w:ascii="Calibri" w:eastAsia="Times New Roman" w:hAnsi="Calibri" w:cs="Times New Roman"/>
                <w:color w:val="000000"/>
                <w:lang w:eastAsia="en-GB"/>
              </w:rPr>
              <w:t>.</w:t>
            </w:r>
            <w:r w:rsidRPr="00A74DE7">
              <w:rPr>
                <w:rFonts w:ascii="Calibri" w:eastAsia="Times New Roman" w:hAnsi="Calibri" w:cs="Times New Roman"/>
                <w:color w:val="000000"/>
                <w:lang w:eastAsia="en-GB"/>
              </w:rPr>
              <w:t xml:space="preserve"> of </w:t>
            </w:r>
            <w:r w:rsidR="00ED4A9F" w:rsidRPr="00A74DE7">
              <w:rPr>
                <w:rFonts w:ascii="Calibri" w:eastAsia="Times New Roman" w:hAnsi="Calibri" w:cs="Times New Roman"/>
                <w:color w:val="000000"/>
                <w:lang w:eastAsia="en-GB"/>
              </w:rPr>
              <w:t>exacerbation</w:t>
            </w:r>
            <w:r w:rsidR="00ED4A9F">
              <w:rPr>
                <w:rFonts w:ascii="Calibri" w:eastAsia="Times New Roman" w:hAnsi="Calibri" w:cs="Times New Roman"/>
                <w:color w:val="000000"/>
                <w:lang w:eastAsia="en-GB"/>
              </w:rPr>
              <w:t>s</w:t>
            </w:r>
            <w:r w:rsidRPr="00A74DE7">
              <w:rPr>
                <w:rFonts w:ascii="Calibri" w:eastAsia="Times New Roman" w:hAnsi="Calibri" w:cs="Times New Roman"/>
                <w:color w:val="000000"/>
                <w:lang w:eastAsia="en-GB"/>
              </w:rPr>
              <w:t xml:space="preserve"> in last 12 months</w:t>
            </w:r>
          </w:p>
        </w:tc>
        <w:tc>
          <w:tcPr>
            <w:tcW w:w="1403" w:type="dxa"/>
          </w:tcPr>
          <w:p w14:paraId="393DE16E" w14:textId="79A72921" w:rsidR="009F177A" w:rsidRDefault="009F177A" w:rsidP="009F177A">
            <w:r w:rsidRPr="00A74DE7">
              <w:rPr>
                <w:rFonts w:ascii="Calibri" w:eastAsia="Times New Roman" w:hAnsi="Calibri" w:cs="Times New Roman"/>
                <w:color w:val="000000"/>
                <w:lang w:eastAsia="en-GB"/>
              </w:rPr>
              <w:t>Has step down been attempted in last 6 months?</w:t>
            </w:r>
          </w:p>
        </w:tc>
        <w:tc>
          <w:tcPr>
            <w:tcW w:w="1538" w:type="dxa"/>
          </w:tcPr>
          <w:p w14:paraId="15FE138D" w14:textId="2726DDDC" w:rsidR="009F177A" w:rsidRDefault="00ED4A9F" w:rsidP="009F177A">
            <w:r>
              <w:t>Courses of oral prednisolone in previous 12 months</w:t>
            </w:r>
          </w:p>
        </w:tc>
        <w:tc>
          <w:tcPr>
            <w:tcW w:w="1214" w:type="dxa"/>
          </w:tcPr>
          <w:p w14:paraId="4F40D2DA" w14:textId="7497F198" w:rsidR="009F177A" w:rsidRDefault="009F177A" w:rsidP="009F177A"/>
        </w:tc>
        <w:tc>
          <w:tcPr>
            <w:tcW w:w="1260" w:type="dxa"/>
          </w:tcPr>
          <w:p w14:paraId="04E5CBBE" w14:textId="77777777" w:rsidR="009F177A" w:rsidRDefault="009F177A" w:rsidP="009F177A"/>
        </w:tc>
        <w:tc>
          <w:tcPr>
            <w:tcW w:w="1935" w:type="dxa"/>
          </w:tcPr>
          <w:p w14:paraId="7EC5E3A1" w14:textId="77777777" w:rsidR="009F177A" w:rsidRDefault="009F177A" w:rsidP="009F177A"/>
        </w:tc>
      </w:tr>
      <w:tr w:rsidR="005F561F" w14:paraId="126F1D87" w14:textId="77777777" w:rsidTr="009F177A">
        <w:tc>
          <w:tcPr>
            <w:tcW w:w="1369" w:type="dxa"/>
          </w:tcPr>
          <w:p w14:paraId="6F1F09AA" w14:textId="3CD8AC19" w:rsidR="009F177A" w:rsidRPr="005F561F" w:rsidRDefault="005F561F" w:rsidP="009F177A">
            <w:pPr>
              <w:rPr>
                <w:i/>
                <w:color w:val="FF0000"/>
              </w:rPr>
            </w:pPr>
            <w:r w:rsidRPr="005F561F">
              <w:rPr>
                <w:i/>
                <w:color w:val="FF0000"/>
              </w:rPr>
              <w:t>5</w:t>
            </w:r>
          </w:p>
        </w:tc>
        <w:tc>
          <w:tcPr>
            <w:tcW w:w="882" w:type="dxa"/>
          </w:tcPr>
          <w:p w14:paraId="14C2C0B0" w14:textId="4FF27D0E" w:rsidR="009F177A" w:rsidRPr="005F561F" w:rsidRDefault="005F561F" w:rsidP="009F177A">
            <w:pPr>
              <w:rPr>
                <w:i/>
                <w:color w:val="FF0000"/>
              </w:rPr>
            </w:pPr>
            <w:r w:rsidRPr="005F561F">
              <w:rPr>
                <w:i/>
                <w:color w:val="FF0000"/>
              </w:rPr>
              <w:t>Yes/no</w:t>
            </w:r>
          </w:p>
        </w:tc>
        <w:tc>
          <w:tcPr>
            <w:tcW w:w="1269" w:type="dxa"/>
          </w:tcPr>
          <w:p w14:paraId="0E66D238" w14:textId="2C18B52B" w:rsidR="009F177A" w:rsidRPr="005F561F" w:rsidRDefault="005F561F" w:rsidP="009F177A">
            <w:pPr>
              <w:rPr>
                <w:i/>
                <w:color w:val="FF0000"/>
              </w:rPr>
            </w:pPr>
            <w:r w:rsidRPr="005F561F">
              <w:rPr>
                <w:i/>
                <w:color w:val="FF0000"/>
              </w:rPr>
              <w:t>12/12/15</w:t>
            </w:r>
          </w:p>
        </w:tc>
        <w:tc>
          <w:tcPr>
            <w:tcW w:w="1862" w:type="dxa"/>
          </w:tcPr>
          <w:p w14:paraId="199B5D40" w14:textId="0908AC78" w:rsidR="009F177A" w:rsidRPr="005F561F" w:rsidRDefault="005F561F" w:rsidP="009F177A">
            <w:pPr>
              <w:rPr>
                <w:i/>
                <w:color w:val="FF0000"/>
              </w:rPr>
            </w:pPr>
            <w:r w:rsidRPr="005F561F">
              <w:rPr>
                <w:i/>
                <w:color w:val="FF0000"/>
              </w:rPr>
              <w:t>Yes/no</w:t>
            </w:r>
          </w:p>
        </w:tc>
        <w:tc>
          <w:tcPr>
            <w:tcW w:w="1216" w:type="dxa"/>
          </w:tcPr>
          <w:p w14:paraId="78552ED9" w14:textId="3CD6CFCD" w:rsidR="009F177A" w:rsidRPr="005F561F" w:rsidRDefault="005F561F" w:rsidP="009F177A">
            <w:pPr>
              <w:rPr>
                <w:i/>
                <w:color w:val="FF0000"/>
              </w:rPr>
            </w:pPr>
            <w:r w:rsidRPr="005F561F">
              <w:rPr>
                <w:i/>
                <w:color w:val="FF0000"/>
              </w:rPr>
              <w:t>3</w:t>
            </w:r>
          </w:p>
        </w:tc>
        <w:tc>
          <w:tcPr>
            <w:tcW w:w="1403" w:type="dxa"/>
          </w:tcPr>
          <w:p w14:paraId="76F3296C" w14:textId="678A3455" w:rsidR="009F177A" w:rsidRPr="005F561F" w:rsidRDefault="005F561F" w:rsidP="009F177A">
            <w:pPr>
              <w:rPr>
                <w:i/>
                <w:color w:val="FF0000"/>
              </w:rPr>
            </w:pPr>
            <w:r w:rsidRPr="005F561F">
              <w:rPr>
                <w:i/>
                <w:color w:val="FF0000"/>
              </w:rPr>
              <w:t>yes</w:t>
            </w:r>
          </w:p>
        </w:tc>
        <w:tc>
          <w:tcPr>
            <w:tcW w:w="1538" w:type="dxa"/>
          </w:tcPr>
          <w:p w14:paraId="69891855" w14:textId="211D9F98" w:rsidR="009F177A" w:rsidRPr="005F561F" w:rsidRDefault="005F561F" w:rsidP="009F177A">
            <w:pPr>
              <w:rPr>
                <w:i/>
                <w:color w:val="FF0000"/>
              </w:rPr>
            </w:pPr>
            <w:r w:rsidRPr="005F561F">
              <w:rPr>
                <w:i/>
                <w:color w:val="FF0000"/>
              </w:rPr>
              <w:t>3</w:t>
            </w:r>
          </w:p>
        </w:tc>
        <w:tc>
          <w:tcPr>
            <w:tcW w:w="1214" w:type="dxa"/>
          </w:tcPr>
          <w:p w14:paraId="4B7757B5" w14:textId="77777777" w:rsidR="009F177A" w:rsidRDefault="009F177A" w:rsidP="009F177A"/>
        </w:tc>
        <w:tc>
          <w:tcPr>
            <w:tcW w:w="1260" w:type="dxa"/>
          </w:tcPr>
          <w:p w14:paraId="3C6CAAFF" w14:textId="77777777" w:rsidR="009F177A" w:rsidRDefault="009F177A" w:rsidP="009F177A"/>
        </w:tc>
        <w:tc>
          <w:tcPr>
            <w:tcW w:w="1935" w:type="dxa"/>
          </w:tcPr>
          <w:p w14:paraId="2FE8D639" w14:textId="77777777" w:rsidR="009F177A" w:rsidRDefault="009F177A" w:rsidP="009F177A"/>
        </w:tc>
      </w:tr>
    </w:tbl>
    <w:p w14:paraId="070C8CBD" w14:textId="09800805" w:rsidR="00261079" w:rsidRDefault="00261079" w:rsidP="005F561F"/>
    <w:p w14:paraId="3781CC1B" w14:textId="77777777" w:rsidR="00261079" w:rsidRDefault="00261079" w:rsidP="005F561F"/>
    <w:p w14:paraId="2DA6F396" w14:textId="77777777" w:rsidR="00261079" w:rsidRDefault="00261079" w:rsidP="005F561F"/>
    <w:p w14:paraId="5BC36B12" w14:textId="77777777" w:rsidR="00261079" w:rsidRDefault="00261079" w:rsidP="005F561F"/>
    <w:p w14:paraId="502F9E7F" w14:textId="77777777" w:rsidR="00C84EBC" w:rsidRDefault="00C84EBC" w:rsidP="00261079">
      <w:pPr>
        <w:rPr>
          <w:b/>
        </w:rPr>
      </w:pPr>
    </w:p>
    <w:p w14:paraId="6CB707BD" w14:textId="305DF220" w:rsidR="00261079" w:rsidRPr="00815C2E" w:rsidRDefault="00261079" w:rsidP="00261079">
      <w:pPr>
        <w:rPr>
          <w:b/>
        </w:rPr>
      </w:pPr>
      <w:r>
        <w:rPr>
          <w:b/>
        </w:rPr>
        <w:lastRenderedPageBreak/>
        <w:t>A</w:t>
      </w:r>
      <w:r w:rsidRPr="00815C2E">
        <w:rPr>
          <w:b/>
        </w:rPr>
        <w:t xml:space="preserve">udit Standards </w:t>
      </w:r>
      <w:r>
        <w:rPr>
          <w:b/>
        </w:rPr>
        <w:t>for Prescribing</w:t>
      </w:r>
    </w:p>
    <w:tbl>
      <w:tblPr>
        <w:tblStyle w:val="TableGrid"/>
        <w:tblW w:w="0" w:type="auto"/>
        <w:tblLook w:val="04A0" w:firstRow="1" w:lastRow="0" w:firstColumn="1" w:lastColumn="0" w:noHBand="0" w:noVBand="1"/>
      </w:tblPr>
      <w:tblGrid>
        <w:gridCol w:w="7113"/>
        <w:gridCol w:w="1417"/>
        <w:gridCol w:w="1625"/>
        <w:gridCol w:w="3793"/>
      </w:tblGrid>
      <w:tr w:rsidR="00261079" w14:paraId="518B27AC" w14:textId="77777777" w:rsidTr="00261079">
        <w:tc>
          <w:tcPr>
            <w:tcW w:w="7113" w:type="dxa"/>
          </w:tcPr>
          <w:p w14:paraId="44B0DFA9" w14:textId="77777777" w:rsidR="00261079" w:rsidRPr="00C84EBC" w:rsidRDefault="00261079" w:rsidP="00CF59A2">
            <w:pPr>
              <w:rPr>
                <w:sz w:val="21"/>
                <w:szCs w:val="21"/>
              </w:rPr>
            </w:pPr>
          </w:p>
        </w:tc>
        <w:tc>
          <w:tcPr>
            <w:tcW w:w="1417" w:type="dxa"/>
          </w:tcPr>
          <w:p w14:paraId="6AA939EA" w14:textId="74AA0E2F" w:rsidR="00261079" w:rsidRPr="00C84EBC" w:rsidRDefault="00261079" w:rsidP="00CF59A2">
            <w:pPr>
              <w:jc w:val="center"/>
              <w:rPr>
                <w:sz w:val="21"/>
                <w:szCs w:val="21"/>
              </w:rPr>
            </w:pPr>
            <w:r w:rsidRPr="00C84EBC">
              <w:rPr>
                <w:sz w:val="21"/>
                <w:szCs w:val="21"/>
              </w:rPr>
              <w:t>Number of Patients</w:t>
            </w:r>
          </w:p>
        </w:tc>
        <w:tc>
          <w:tcPr>
            <w:tcW w:w="1625" w:type="dxa"/>
          </w:tcPr>
          <w:p w14:paraId="3AEF13CA" w14:textId="006E18EA" w:rsidR="00261079" w:rsidRPr="00C84EBC" w:rsidRDefault="00C84EBC" w:rsidP="00CF59A2">
            <w:pPr>
              <w:jc w:val="center"/>
              <w:rPr>
                <w:sz w:val="21"/>
                <w:szCs w:val="21"/>
              </w:rPr>
            </w:pPr>
            <w:r>
              <w:rPr>
                <w:sz w:val="21"/>
                <w:szCs w:val="21"/>
              </w:rPr>
              <w:t>Percentage of patients</w:t>
            </w:r>
          </w:p>
          <w:p w14:paraId="508135ED" w14:textId="5B24A2D1" w:rsidR="00261079" w:rsidRPr="00C84EBC" w:rsidRDefault="00261079" w:rsidP="00CF59A2">
            <w:pPr>
              <w:jc w:val="center"/>
              <w:rPr>
                <w:sz w:val="21"/>
                <w:szCs w:val="21"/>
              </w:rPr>
            </w:pPr>
            <w:r w:rsidRPr="00C84EBC">
              <w:rPr>
                <w:sz w:val="21"/>
                <w:szCs w:val="21"/>
              </w:rPr>
              <w:t>(</w:t>
            </w:r>
            <w:r w:rsidR="00C84EBC">
              <w:rPr>
                <w:sz w:val="21"/>
                <w:szCs w:val="21"/>
              </w:rPr>
              <w:t xml:space="preserve">Target </w:t>
            </w:r>
            <w:r w:rsidRPr="00C84EBC">
              <w:rPr>
                <w:sz w:val="21"/>
                <w:szCs w:val="21"/>
              </w:rPr>
              <w:t>%)</w:t>
            </w:r>
          </w:p>
        </w:tc>
        <w:tc>
          <w:tcPr>
            <w:tcW w:w="3793" w:type="dxa"/>
          </w:tcPr>
          <w:p w14:paraId="07FEB5A5" w14:textId="77777777" w:rsidR="00261079" w:rsidRPr="00C84EBC" w:rsidRDefault="00261079" w:rsidP="00CF59A2">
            <w:pPr>
              <w:jc w:val="center"/>
              <w:rPr>
                <w:sz w:val="21"/>
                <w:szCs w:val="21"/>
              </w:rPr>
            </w:pPr>
            <w:r w:rsidRPr="00C84EBC">
              <w:rPr>
                <w:sz w:val="21"/>
                <w:szCs w:val="21"/>
              </w:rPr>
              <w:t>Further Information</w:t>
            </w:r>
          </w:p>
        </w:tc>
      </w:tr>
      <w:tr w:rsidR="00C84EBC" w14:paraId="47858971" w14:textId="77777777" w:rsidTr="004A4FEB">
        <w:tc>
          <w:tcPr>
            <w:tcW w:w="13948" w:type="dxa"/>
            <w:gridSpan w:val="4"/>
          </w:tcPr>
          <w:p w14:paraId="627DDC2E" w14:textId="791FC036" w:rsidR="00C84EBC" w:rsidRPr="00C84EBC" w:rsidRDefault="00C84EBC" w:rsidP="00CF59A2">
            <w:pPr>
              <w:jc w:val="center"/>
              <w:rPr>
                <w:b/>
                <w:sz w:val="21"/>
                <w:szCs w:val="21"/>
              </w:rPr>
            </w:pPr>
            <w:r w:rsidRPr="00C84EBC">
              <w:rPr>
                <w:b/>
                <w:sz w:val="21"/>
                <w:szCs w:val="21"/>
              </w:rPr>
              <w:t>All CYP with asthma diagnosed</w:t>
            </w:r>
          </w:p>
          <w:p w14:paraId="1174C3BB" w14:textId="77777777" w:rsidR="00C84EBC" w:rsidRPr="00C84EBC" w:rsidRDefault="00C84EBC" w:rsidP="00CF59A2">
            <w:pPr>
              <w:jc w:val="center"/>
              <w:rPr>
                <w:sz w:val="21"/>
                <w:szCs w:val="21"/>
              </w:rPr>
            </w:pPr>
          </w:p>
        </w:tc>
      </w:tr>
      <w:tr w:rsidR="00261079" w14:paraId="2D4773EA" w14:textId="77777777" w:rsidTr="00261079">
        <w:tc>
          <w:tcPr>
            <w:tcW w:w="7113" w:type="dxa"/>
          </w:tcPr>
          <w:p w14:paraId="68F689D7" w14:textId="77777777" w:rsidR="00261079" w:rsidRPr="00C84EBC" w:rsidRDefault="00261079" w:rsidP="00CF59A2">
            <w:pPr>
              <w:rPr>
                <w:sz w:val="21"/>
                <w:szCs w:val="21"/>
              </w:rPr>
            </w:pPr>
            <w:r w:rsidRPr="00C84EBC">
              <w:rPr>
                <w:sz w:val="21"/>
                <w:szCs w:val="21"/>
              </w:rPr>
              <w:t>All people with asthma should be provided with written guidance in the form of a personal asthma action plan</w:t>
            </w:r>
          </w:p>
        </w:tc>
        <w:tc>
          <w:tcPr>
            <w:tcW w:w="1417" w:type="dxa"/>
          </w:tcPr>
          <w:p w14:paraId="6554FA2C" w14:textId="77777777" w:rsidR="00261079" w:rsidRPr="00C84EBC" w:rsidRDefault="00261079" w:rsidP="00CF59A2">
            <w:pPr>
              <w:rPr>
                <w:sz w:val="21"/>
                <w:szCs w:val="21"/>
              </w:rPr>
            </w:pPr>
          </w:p>
        </w:tc>
        <w:tc>
          <w:tcPr>
            <w:tcW w:w="1625" w:type="dxa"/>
          </w:tcPr>
          <w:p w14:paraId="5512FC7C" w14:textId="5F65F42B" w:rsidR="00261079" w:rsidRPr="00C84EBC" w:rsidRDefault="00261079" w:rsidP="00CF59A2">
            <w:pPr>
              <w:rPr>
                <w:sz w:val="21"/>
                <w:szCs w:val="21"/>
              </w:rPr>
            </w:pPr>
          </w:p>
        </w:tc>
        <w:tc>
          <w:tcPr>
            <w:tcW w:w="3793" w:type="dxa"/>
          </w:tcPr>
          <w:p w14:paraId="546CF2CB" w14:textId="77777777" w:rsidR="00261079" w:rsidRPr="00C84EBC" w:rsidRDefault="003F3820" w:rsidP="00CF59A2">
            <w:pPr>
              <w:rPr>
                <w:sz w:val="21"/>
                <w:szCs w:val="21"/>
              </w:rPr>
            </w:pPr>
            <w:hyperlink r:id="rId8" w:history="1">
              <w:r w:rsidR="00261079" w:rsidRPr="00C84EBC">
                <w:rPr>
                  <w:rStyle w:val="Hyperlink"/>
                  <w:sz w:val="21"/>
                  <w:szCs w:val="21"/>
                </w:rPr>
                <w:t>BTS Asthma Guidance</w:t>
              </w:r>
            </w:hyperlink>
          </w:p>
          <w:p w14:paraId="72AB361A" w14:textId="77777777" w:rsidR="00261079" w:rsidRPr="00C84EBC" w:rsidRDefault="003F3820" w:rsidP="00CF59A2">
            <w:pPr>
              <w:rPr>
                <w:sz w:val="21"/>
                <w:szCs w:val="21"/>
              </w:rPr>
            </w:pPr>
            <w:hyperlink r:id="rId9" w:history="1">
              <w:r w:rsidR="00261079" w:rsidRPr="00C84EBC">
                <w:rPr>
                  <w:rStyle w:val="Hyperlink"/>
                  <w:sz w:val="21"/>
                  <w:szCs w:val="21"/>
                </w:rPr>
                <w:t>NICE Asthma Quality Standard</w:t>
              </w:r>
            </w:hyperlink>
          </w:p>
        </w:tc>
      </w:tr>
      <w:tr w:rsidR="00261079" w14:paraId="316465EE" w14:textId="77777777" w:rsidTr="00261079">
        <w:tc>
          <w:tcPr>
            <w:tcW w:w="7113" w:type="dxa"/>
          </w:tcPr>
          <w:p w14:paraId="2936A436" w14:textId="77777777" w:rsidR="00261079" w:rsidRPr="00C84EBC" w:rsidRDefault="00261079" w:rsidP="00CF59A2">
            <w:pPr>
              <w:rPr>
                <w:sz w:val="21"/>
                <w:szCs w:val="21"/>
              </w:rPr>
            </w:pPr>
            <w:r w:rsidRPr="00C84EBC">
              <w:rPr>
                <w:sz w:val="21"/>
                <w:szCs w:val="21"/>
              </w:rPr>
              <w:t>An assessment of inhaler technique to ensure effectiveness should be routinely undertaken and formally documented at annual review</w:t>
            </w:r>
          </w:p>
        </w:tc>
        <w:tc>
          <w:tcPr>
            <w:tcW w:w="1417" w:type="dxa"/>
          </w:tcPr>
          <w:p w14:paraId="2AADD4E4" w14:textId="77777777" w:rsidR="00261079" w:rsidRPr="00C84EBC" w:rsidRDefault="00261079" w:rsidP="00CF59A2">
            <w:pPr>
              <w:rPr>
                <w:sz w:val="21"/>
                <w:szCs w:val="21"/>
              </w:rPr>
            </w:pPr>
          </w:p>
        </w:tc>
        <w:tc>
          <w:tcPr>
            <w:tcW w:w="1625" w:type="dxa"/>
          </w:tcPr>
          <w:p w14:paraId="30467B0B" w14:textId="080E610D" w:rsidR="00261079" w:rsidRPr="00C84EBC" w:rsidRDefault="00261079" w:rsidP="00CF59A2">
            <w:pPr>
              <w:rPr>
                <w:sz w:val="21"/>
                <w:szCs w:val="21"/>
              </w:rPr>
            </w:pPr>
          </w:p>
        </w:tc>
        <w:tc>
          <w:tcPr>
            <w:tcW w:w="3793" w:type="dxa"/>
          </w:tcPr>
          <w:p w14:paraId="1AEB1D28" w14:textId="77777777" w:rsidR="00261079" w:rsidRPr="00C84EBC" w:rsidRDefault="003F3820" w:rsidP="00CF59A2">
            <w:pPr>
              <w:rPr>
                <w:sz w:val="21"/>
                <w:szCs w:val="21"/>
              </w:rPr>
            </w:pPr>
            <w:hyperlink r:id="rId10" w:history="1">
              <w:r w:rsidR="00261079" w:rsidRPr="00C84EBC">
                <w:rPr>
                  <w:rStyle w:val="Hyperlink"/>
                  <w:sz w:val="21"/>
                  <w:szCs w:val="21"/>
                </w:rPr>
                <w:t>BTS Asthma Guidance</w:t>
              </w:r>
            </w:hyperlink>
          </w:p>
          <w:p w14:paraId="48CA37EF" w14:textId="77777777" w:rsidR="00261079" w:rsidRPr="00C84EBC" w:rsidRDefault="003F3820" w:rsidP="00CF59A2">
            <w:pPr>
              <w:rPr>
                <w:sz w:val="21"/>
                <w:szCs w:val="21"/>
              </w:rPr>
            </w:pPr>
            <w:hyperlink r:id="rId11" w:history="1">
              <w:r w:rsidR="00261079" w:rsidRPr="00C84EBC">
                <w:rPr>
                  <w:rStyle w:val="Hyperlink"/>
                  <w:sz w:val="21"/>
                  <w:szCs w:val="21"/>
                </w:rPr>
                <w:t>Asthma UK – Using Your Inhalers</w:t>
              </w:r>
            </w:hyperlink>
          </w:p>
          <w:p w14:paraId="10D0B2B4" w14:textId="77777777" w:rsidR="00261079" w:rsidRPr="00C84EBC" w:rsidRDefault="003F3820" w:rsidP="00CF59A2">
            <w:pPr>
              <w:rPr>
                <w:sz w:val="21"/>
                <w:szCs w:val="21"/>
              </w:rPr>
            </w:pPr>
            <w:hyperlink r:id="rId12" w:history="1">
              <w:r w:rsidR="00261079" w:rsidRPr="00C84EBC">
                <w:rPr>
                  <w:rStyle w:val="Hyperlink"/>
                  <w:sz w:val="21"/>
                  <w:szCs w:val="21"/>
                </w:rPr>
                <w:t>NICE Asthma Quality Standard</w:t>
              </w:r>
            </w:hyperlink>
          </w:p>
        </w:tc>
      </w:tr>
      <w:tr w:rsidR="00261079" w14:paraId="64C9A45F" w14:textId="77777777" w:rsidTr="00261079">
        <w:tc>
          <w:tcPr>
            <w:tcW w:w="7113" w:type="dxa"/>
          </w:tcPr>
          <w:p w14:paraId="73A71A53" w14:textId="77777777" w:rsidR="00261079" w:rsidRPr="00C84EBC" w:rsidRDefault="00261079" w:rsidP="00CF59A2">
            <w:pPr>
              <w:rPr>
                <w:sz w:val="21"/>
                <w:szCs w:val="21"/>
              </w:rPr>
            </w:pPr>
            <w:r w:rsidRPr="00C84EBC">
              <w:rPr>
                <w:sz w:val="21"/>
                <w:szCs w:val="21"/>
              </w:rPr>
              <w:t>All patients currently using a metered dose inhaler (mdi) should be provided with a spacer and taught how to use</w:t>
            </w:r>
          </w:p>
        </w:tc>
        <w:tc>
          <w:tcPr>
            <w:tcW w:w="1417" w:type="dxa"/>
          </w:tcPr>
          <w:p w14:paraId="749C95CC" w14:textId="77777777" w:rsidR="00261079" w:rsidRPr="00C84EBC" w:rsidRDefault="00261079" w:rsidP="00CF59A2">
            <w:pPr>
              <w:rPr>
                <w:sz w:val="21"/>
                <w:szCs w:val="21"/>
              </w:rPr>
            </w:pPr>
          </w:p>
        </w:tc>
        <w:tc>
          <w:tcPr>
            <w:tcW w:w="1625" w:type="dxa"/>
          </w:tcPr>
          <w:p w14:paraId="6CA9CB33" w14:textId="69CCE5E6" w:rsidR="00261079" w:rsidRPr="00C84EBC" w:rsidRDefault="00261079" w:rsidP="00CF59A2">
            <w:pPr>
              <w:rPr>
                <w:sz w:val="21"/>
                <w:szCs w:val="21"/>
              </w:rPr>
            </w:pPr>
          </w:p>
        </w:tc>
        <w:tc>
          <w:tcPr>
            <w:tcW w:w="3793" w:type="dxa"/>
          </w:tcPr>
          <w:p w14:paraId="48E556D7" w14:textId="77777777" w:rsidR="00261079" w:rsidRPr="00C84EBC" w:rsidRDefault="003F3820" w:rsidP="00CF59A2">
            <w:pPr>
              <w:rPr>
                <w:sz w:val="21"/>
                <w:szCs w:val="21"/>
              </w:rPr>
            </w:pPr>
            <w:hyperlink r:id="rId13" w:history="1">
              <w:r w:rsidR="00261079" w:rsidRPr="00C84EBC">
                <w:rPr>
                  <w:rStyle w:val="Hyperlink"/>
                  <w:sz w:val="21"/>
                  <w:szCs w:val="21"/>
                </w:rPr>
                <w:t>BTS Asthma Guidance</w:t>
              </w:r>
            </w:hyperlink>
          </w:p>
          <w:p w14:paraId="214164ED" w14:textId="77777777" w:rsidR="00261079" w:rsidRPr="00C84EBC" w:rsidRDefault="003F3820" w:rsidP="00CF59A2">
            <w:pPr>
              <w:rPr>
                <w:sz w:val="21"/>
                <w:szCs w:val="21"/>
              </w:rPr>
            </w:pPr>
            <w:hyperlink r:id="rId14" w:history="1">
              <w:r w:rsidR="00261079" w:rsidRPr="00C84EBC">
                <w:rPr>
                  <w:rStyle w:val="Hyperlink"/>
                  <w:sz w:val="21"/>
                  <w:szCs w:val="21"/>
                </w:rPr>
                <w:t>Asthma UK – Using Your Inhalers</w:t>
              </w:r>
            </w:hyperlink>
          </w:p>
        </w:tc>
      </w:tr>
      <w:tr w:rsidR="00261079" w14:paraId="7B94A246" w14:textId="77777777" w:rsidTr="00261079">
        <w:tc>
          <w:tcPr>
            <w:tcW w:w="7113" w:type="dxa"/>
          </w:tcPr>
          <w:p w14:paraId="26B3CD45" w14:textId="77777777" w:rsidR="00261079" w:rsidRPr="00C84EBC" w:rsidRDefault="00261079" w:rsidP="00CF59A2">
            <w:pPr>
              <w:rPr>
                <w:sz w:val="21"/>
                <w:szCs w:val="21"/>
              </w:rPr>
            </w:pPr>
            <w:r w:rsidRPr="00C84EBC">
              <w:rPr>
                <w:sz w:val="21"/>
                <w:szCs w:val="21"/>
              </w:rPr>
              <w:t>All asthma patients who have been prescribed more than 10 short-acting reliever inhalers in the previous 10 months should be invited for urgent review of their asthma control, with the aim of improving their asthma through education and change of treatment if required</w:t>
            </w:r>
          </w:p>
        </w:tc>
        <w:tc>
          <w:tcPr>
            <w:tcW w:w="1417" w:type="dxa"/>
          </w:tcPr>
          <w:p w14:paraId="4493A0EE" w14:textId="77777777" w:rsidR="00261079" w:rsidRPr="00C84EBC" w:rsidRDefault="00261079" w:rsidP="00CF59A2">
            <w:pPr>
              <w:rPr>
                <w:sz w:val="21"/>
                <w:szCs w:val="21"/>
              </w:rPr>
            </w:pPr>
          </w:p>
        </w:tc>
        <w:tc>
          <w:tcPr>
            <w:tcW w:w="1625" w:type="dxa"/>
          </w:tcPr>
          <w:p w14:paraId="5AD6941A" w14:textId="362BACDE" w:rsidR="00261079" w:rsidRPr="00C84EBC" w:rsidRDefault="00261079" w:rsidP="00CF59A2">
            <w:pPr>
              <w:rPr>
                <w:sz w:val="21"/>
                <w:szCs w:val="21"/>
              </w:rPr>
            </w:pPr>
          </w:p>
        </w:tc>
        <w:tc>
          <w:tcPr>
            <w:tcW w:w="3793" w:type="dxa"/>
          </w:tcPr>
          <w:p w14:paraId="74FC8096" w14:textId="77777777" w:rsidR="00261079" w:rsidRPr="00C84EBC" w:rsidRDefault="003F3820" w:rsidP="00CF59A2">
            <w:pPr>
              <w:rPr>
                <w:sz w:val="21"/>
                <w:szCs w:val="21"/>
              </w:rPr>
            </w:pPr>
            <w:hyperlink r:id="rId15" w:history="1">
              <w:r w:rsidR="00261079" w:rsidRPr="00C84EBC">
                <w:rPr>
                  <w:rStyle w:val="Hyperlink"/>
                  <w:sz w:val="21"/>
                  <w:szCs w:val="21"/>
                </w:rPr>
                <w:t>NRAD Report</w:t>
              </w:r>
            </w:hyperlink>
          </w:p>
          <w:p w14:paraId="15DDDDDA" w14:textId="77777777" w:rsidR="00261079" w:rsidRPr="00C84EBC" w:rsidRDefault="00261079" w:rsidP="00CF59A2">
            <w:pPr>
              <w:rPr>
                <w:sz w:val="21"/>
                <w:szCs w:val="21"/>
              </w:rPr>
            </w:pPr>
            <w:r w:rsidRPr="00C84EBC">
              <w:rPr>
                <w:sz w:val="21"/>
                <w:szCs w:val="21"/>
              </w:rPr>
              <w:t>London asthma standards for children and young people (insert new link)</w:t>
            </w:r>
          </w:p>
        </w:tc>
      </w:tr>
      <w:tr w:rsidR="00261079" w14:paraId="3EF7A755" w14:textId="77777777" w:rsidTr="00261079">
        <w:tc>
          <w:tcPr>
            <w:tcW w:w="7113" w:type="dxa"/>
          </w:tcPr>
          <w:p w14:paraId="10224C79" w14:textId="77777777" w:rsidR="00261079" w:rsidRPr="00C84EBC" w:rsidRDefault="00261079" w:rsidP="00CF59A2">
            <w:pPr>
              <w:rPr>
                <w:sz w:val="21"/>
                <w:szCs w:val="21"/>
              </w:rPr>
            </w:pPr>
            <w:r w:rsidRPr="00C84EBC">
              <w:rPr>
                <w:sz w:val="21"/>
                <w:szCs w:val="21"/>
              </w:rPr>
              <w:t>All  CYP  with  asthma  should  be  offered  the flu vaccine unless contraindicated</w:t>
            </w:r>
          </w:p>
        </w:tc>
        <w:tc>
          <w:tcPr>
            <w:tcW w:w="1417" w:type="dxa"/>
          </w:tcPr>
          <w:p w14:paraId="66B1B49D" w14:textId="77777777" w:rsidR="00261079" w:rsidRPr="00C84EBC" w:rsidRDefault="00261079" w:rsidP="00CF59A2">
            <w:pPr>
              <w:rPr>
                <w:sz w:val="21"/>
                <w:szCs w:val="21"/>
              </w:rPr>
            </w:pPr>
          </w:p>
        </w:tc>
        <w:tc>
          <w:tcPr>
            <w:tcW w:w="1625" w:type="dxa"/>
          </w:tcPr>
          <w:p w14:paraId="0EDC66F2" w14:textId="6E91B3F5" w:rsidR="00261079" w:rsidRPr="00C84EBC" w:rsidRDefault="00261079" w:rsidP="00CF59A2">
            <w:pPr>
              <w:rPr>
                <w:sz w:val="21"/>
                <w:szCs w:val="21"/>
              </w:rPr>
            </w:pPr>
          </w:p>
        </w:tc>
        <w:tc>
          <w:tcPr>
            <w:tcW w:w="3793" w:type="dxa"/>
          </w:tcPr>
          <w:p w14:paraId="3866131A" w14:textId="77777777" w:rsidR="00261079" w:rsidRPr="00C84EBC" w:rsidRDefault="003F3820" w:rsidP="00CF59A2">
            <w:pPr>
              <w:rPr>
                <w:sz w:val="21"/>
                <w:szCs w:val="21"/>
              </w:rPr>
            </w:pPr>
            <w:hyperlink r:id="rId16" w:history="1">
              <w:r w:rsidR="00261079" w:rsidRPr="00C84EBC">
                <w:rPr>
                  <w:rStyle w:val="Hyperlink"/>
                  <w:sz w:val="21"/>
                  <w:szCs w:val="21"/>
                </w:rPr>
                <w:t>The Green Book - Influenza</w:t>
              </w:r>
            </w:hyperlink>
          </w:p>
        </w:tc>
      </w:tr>
      <w:tr w:rsidR="00C84EBC" w14:paraId="215ACBA9" w14:textId="77777777" w:rsidTr="005B31EA">
        <w:tc>
          <w:tcPr>
            <w:tcW w:w="13948" w:type="dxa"/>
            <w:gridSpan w:val="4"/>
          </w:tcPr>
          <w:p w14:paraId="3DDB4E62" w14:textId="4A6AD98E" w:rsidR="00C84EBC" w:rsidRPr="00C84EBC" w:rsidRDefault="00C84EBC" w:rsidP="00CF59A2">
            <w:pPr>
              <w:jc w:val="center"/>
              <w:rPr>
                <w:b/>
                <w:sz w:val="21"/>
                <w:szCs w:val="21"/>
              </w:rPr>
            </w:pPr>
            <w:r w:rsidRPr="00C84EBC">
              <w:rPr>
                <w:b/>
                <w:sz w:val="21"/>
                <w:szCs w:val="21"/>
              </w:rPr>
              <w:t>All CYP with asthma diagnosed and using steroids</w:t>
            </w:r>
          </w:p>
        </w:tc>
      </w:tr>
      <w:tr w:rsidR="00261079" w14:paraId="60ECCD51" w14:textId="77777777" w:rsidTr="00261079">
        <w:tc>
          <w:tcPr>
            <w:tcW w:w="7113" w:type="dxa"/>
          </w:tcPr>
          <w:p w14:paraId="3343E5DE" w14:textId="77777777" w:rsidR="00261079" w:rsidRPr="00C84EBC" w:rsidRDefault="00261079" w:rsidP="00CF59A2">
            <w:pPr>
              <w:rPr>
                <w:color w:val="FF0000"/>
                <w:sz w:val="21"/>
                <w:szCs w:val="21"/>
              </w:rPr>
            </w:pPr>
            <w:r w:rsidRPr="00C84EBC">
              <w:rPr>
                <w:sz w:val="21"/>
                <w:szCs w:val="21"/>
              </w:rPr>
              <w:t>All CYP asthmatics on ICS should be reviewed regularly and treatment stepped down if appropriate</w:t>
            </w:r>
          </w:p>
        </w:tc>
        <w:tc>
          <w:tcPr>
            <w:tcW w:w="1417" w:type="dxa"/>
          </w:tcPr>
          <w:p w14:paraId="06F88BF2" w14:textId="77777777" w:rsidR="00261079" w:rsidRPr="00C84EBC" w:rsidRDefault="00261079" w:rsidP="00CF59A2">
            <w:pPr>
              <w:rPr>
                <w:sz w:val="21"/>
                <w:szCs w:val="21"/>
              </w:rPr>
            </w:pPr>
          </w:p>
        </w:tc>
        <w:tc>
          <w:tcPr>
            <w:tcW w:w="1625" w:type="dxa"/>
          </w:tcPr>
          <w:p w14:paraId="4ED63676" w14:textId="3E0CAA93" w:rsidR="00261079" w:rsidRPr="00C84EBC" w:rsidRDefault="00261079" w:rsidP="00CF59A2">
            <w:pPr>
              <w:rPr>
                <w:sz w:val="21"/>
                <w:szCs w:val="21"/>
              </w:rPr>
            </w:pPr>
          </w:p>
        </w:tc>
        <w:tc>
          <w:tcPr>
            <w:tcW w:w="3793" w:type="dxa"/>
          </w:tcPr>
          <w:p w14:paraId="0AF42B48" w14:textId="77777777" w:rsidR="00261079" w:rsidRPr="00C84EBC" w:rsidRDefault="003F3820" w:rsidP="00CF59A2">
            <w:pPr>
              <w:rPr>
                <w:sz w:val="21"/>
                <w:szCs w:val="21"/>
              </w:rPr>
            </w:pPr>
            <w:hyperlink r:id="rId17" w:history="1">
              <w:r w:rsidR="00261079" w:rsidRPr="00C84EBC">
                <w:rPr>
                  <w:rStyle w:val="Hyperlink"/>
                  <w:sz w:val="21"/>
                  <w:szCs w:val="21"/>
                </w:rPr>
                <w:t>BTS Asthma Guidance</w:t>
              </w:r>
            </w:hyperlink>
          </w:p>
          <w:p w14:paraId="542D1789" w14:textId="77777777" w:rsidR="00261079" w:rsidRPr="00C84EBC" w:rsidRDefault="003F3820" w:rsidP="00CF59A2">
            <w:pPr>
              <w:rPr>
                <w:sz w:val="21"/>
                <w:szCs w:val="21"/>
              </w:rPr>
            </w:pPr>
            <w:hyperlink r:id="rId18" w:history="1">
              <w:r w:rsidR="00261079" w:rsidRPr="00C84EBC">
                <w:rPr>
                  <w:rStyle w:val="Hyperlink"/>
                  <w:sz w:val="21"/>
                  <w:szCs w:val="21"/>
                </w:rPr>
                <w:t>NICE – High Dose ICS</w:t>
              </w:r>
            </w:hyperlink>
          </w:p>
        </w:tc>
      </w:tr>
      <w:tr w:rsidR="00261079" w14:paraId="4918A958" w14:textId="77777777" w:rsidTr="00261079">
        <w:tc>
          <w:tcPr>
            <w:tcW w:w="7113" w:type="dxa"/>
          </w:tcPr>
          <w:p w14:paraId="778D8180" w14:textId="77777777" w:rsidR="00261079" w:rsidRPr="00C84EBC" w:rsidRDefault="00261079" w:rsidP="00CF59A2">
            <w:pPr>
              <w:rPr>
                <w:sz w:val="21"/>
                <w:szCs w:val="21"/>
              </w:rPr>
            </w:pPr>
            <w:r w:rsidRPr="00C84EBC">
              <w:rPr>
                <w:color w:val="FF0000"/>
                <w:sz w:val="21"/>
                <w:szCs w:val="21"/>
              </w:rPr>
              <w:t>Two or more prescriptions for prednisolone in a year?</w:t>
            </w:r>
          </w:p>
        </w:tc>
        <w:tc>
          <w:tcPr>
            <w:tcW w:w="1417" w:type="dxa"/>
          </w:tcPr>
          <w:p w14:paraId="6B70C1B9" w14:textId="77777777" w:rsidR="00261079" w:rsidRPr="00C84EBC" w:rsidRDefault="00261079" w:rsidP="00CF59A2">
            <w:pPr>
              <w:rPr>
                <w:sz w:val="21"/>
                <w:szCs w:val="21"/>
              </w:rPr>
            </w:pPr>
          </w:p>
        </w:tc>
        <w:tc>
          <w:tcPr>
            <w:tcW w:w="1625" w:type="dxa"/>
          </w:tcPr>
          <w:p w14:paraId="0AAE0CFB" w14:textId="081D69CE" w:rsidR="00261079" w:rsidRPr="00C84EBC" w:rsidRDefault="00261079" w:rsidP="00CF59A2">
            <w:pPr>
              <w:rPr>
                <w:sz w:val="21"/>
                <w:szCs w:val="21"/>
              </w:rPr>
            </w:pPr>
          </w:p>
        </w:tc>
        <w:tc>
          <w:tcPr>
            <w:tcW w:w="3793" w:type="dxa"/>
          </w:tcPr>
          <w:p w14:paraId="5234A7DD" w14:textId="77777777" w:rsidR="00261079" w:rsidRPr="00C84EBC" w:rsidRDefault="00261079" w:rsidP="00CF59A2">
            <w:pPr>
              <w:rPr>
                <w:sz w:val="21"/>
                <w:szCs w:val="21"/>
              </w:rPr>
            </w:pPr>
            <w:r w:rsidRPr="00C84EBC">
              <w:rPr>
                <w:sz w:val="21"/>
                <w:szCs w:val="21"/>
              </w:rPr>
              <w:t>http://www.londonscn.nhs.uk/wp-content/uploads/2015/07/cyp-asthma-stds-062015.pdf</w:t>
            </w:r>
          </w:p>
        </w:tc>
      </w:tr>
      <w:tr w:rsidR="00261079" w14:paraId="19DE393E" w14:textId="77777777" w:rsidTr="00261079">
        <w:tc>
          <w:tcPr>
            <w:tcW w:w="7113" w:type="dxa"/>
          </w:tcPr>
          <w:p w14:paraId="52256990" w14:textId="77777777" w:rsidR="00261079" w:rsidRPr="00C84EBC" w:rsidRDefault="00261079" w:rsidP="00CF59A2">
            <w:pPr>
              <w:rPr>
                <w:sz w:val="21"/>
                <w:szCs w:val="21"/>
              </w:rPr>
            </w:pPr>
            <w:r w:rsidRPr="00C84EBC">
              <w:rPr>
                <w:sz w:val="21"/>
                <w:szCs w:val="21"/>
              </w:rPr>
              <w:t>All CYP asthmatics on high dose ICS should have been issued a steroid card and counselled on risk.</w:t>
            </w:r>
          </w:p>
        </w:tc>
        <w:tc>
          <w:tcPr>
            <w:tcW w:w="1417" w:type="dxa"/>
          </w:tcPr>
          <w:p w14:paraId="1D960991" w14:textId="77777777" w:rsidR="00261079" w:rsidRPr="00C84EBC" w:rsidRDefault="00261079" w:rsidP="00CF59A2">
            <w:pPr>
              <w:rPr>
                <w:sz w:val="21"/>
                <w:szCs w:val="21"/>
              </w:rPr>
            </w:pPr>
          </w:p>
        </w:tc>
        <w:tc>
          <w:tcPr>
            <w:tcW w:w="1625" w:type="dxa"/>
          </w:tcPr>
          <w:p w14:paraId="004F95EE" w14:textId="5FC4D7C2" w:rsidR="00261079" w:rsidRPr="00C84EBC" w:rsidRDefault="00261079" w:rsidP="00CF59A2">
            <w:pPr>
              <w:rPr>
                <w:sz w:val="21"/>
                <w:szCs w:val="21"/>
              </w:rPr>
            </w:pPr>
          </w:p>
        </w:tc>
        <w:tc>
          <w:tcPr>
            <w:tcW w:w="3793" w:type="dxa"/>
          </w:tcPr>
          <w:p w14:paraId="08376C0F" w14:textId="77777777" w:rsidR="00261079" w:rsidRPr="00C84EBC" w:rsidRDefault="003F3820" w:rsidP="00CF59A2">
            <w:pPr>
              <w:rPr>
                <w:sz w:val="21"/>
                <w:szCs w:val="21"/>
              </w:rPr>
            </w:pPr>
            <w:hyperlink r:id="rId19" w:history="1">
              <w:r w:rsidR="00261079" w:rsidRPr="00C84EBC">
                <w:rPr>
                  <w:rStyle w:val="Hyperlink"/>
                  <w:sz w:val="21"/>
                  <w:szCs w:val="21"/>
                </w:rPr>
                <w:t>NICE – High Dose ICS</w:t>
              </w:r>
            </w:hyperlink>
          </w:p>
          <w:p w14:paraId="51392F73" w14:textId="77777777" w:rsidR="00261079" w:rsidRPr="00C84EBC" w:rsidRDefault="00261079" w:rsidP="00CF59A2">
            <w:pPr>
              <w:rPr>
                <w:sz w:val="21"/>
                <w:szCs w:val="21"/>
              </w:rPr>
            </w:pPr>
          </w:p>
        </w:tc>
      </w:tr>
      <w:tr w:rsidR="00261079" w14:paraId="1AAAED46" w14:textId="77777777" w:rsidTr="00261079">
        <w:tc>
          <w:tcPr>
            <w:tcW w:w="7113" w:type="dxa"/>
          </w:tcPr>
          <w:p w14:paraId="7D46CE58" w14:textId="77777777" w:rsidR="00261079" w:rsidRPr="00C84EBC" w:rsidRDefault="00261079" w:rsidP="00CF59A2">
            <w:pPr>
              <w:rPr>
                <w:sz w:val="21"/>
                <w:szCs w:val="21"/>
              </w:rPr>
            </w:pPr>
            <w:r w:rsidRPr="00C84EBC">
              <w:rPr>
                <w:sz w:val="21"/>
                <w:szCs w:val="21"/>
              </w:rPr>
              <w:t>Height should be measured regularly for all children on high dose inhaled corticosteroids</w:t>
            </w:r>
          </w:p>
        </w:tc>
        <w:tc>
          <w:tcPr>
            <w:tcW w:w="1417" w:type="dxa"/>
          </w:tcPr>
          <w:p w14:paraId="4AB68131" w14:textId="77777777" w:rsidR="00261079" w:rsidRPr="00C84EBC" w:rsidRDefault="00261079" w:rsidP="00CF59A2">
            <w:pPr>
              <w:rPr>
                <w:sz w:val="21"/>
                <w:szCs w:val="21"/>
              </w:rPr>
            </w:pPr>
          </w:p>
        </w:tc>
        <w:tc>
          <w:tcPr>
            <w:tcW w:w="1625" w:type="dxa"/>
          </w:tcPr>
          <w:p w14:paraId="20670978" w14:textId="1FF9BC38" w:rsidR="00261079" w:rsidRPr="00C84EBC" w:rsidRDefault="00261079" w:rsidP="00CF59A2">
            <w:pPr>
              <w:rPr>
                <w:sz w:val="21"/>
                <w:szCs w:val="21"/>
              </w:rPr>
            </w:pPr>
          </w:p>
        </w:tc>
        <w:tc>
          <w:tcPr>
            <w:tcW w:w="3793" w:type="dxa"/>
          </w:tcPr>
          <w:p w14:paraId="2BE3120B" w14:textId="77777777" w:rsidR="00261079" w:rsidRPr="00C84EBC" w:rsidRDefault="003F3820" w:rsidP="00CF59A2">
            <w:pPr>
              <w:rPr>
                <w:sz w:val="21"/>
                <w:szCs w:val="21"/>
              </w:rPr>
            </w:pPr>
            <w:hyperlink r:id="rId20" w:history="1">
              <w:r w:rsidR="00261079" w:rsidRPr="00C84EBC">
                <w:rPr>
                  <w:rStyle w:val="Hyperlink"/>
                  <w:sz w:val="21"/>
                  <w:szCs w:val="21"/>
                </w:rPr>
                <w:t>NICE – High Dose ICS</w:t>
              </w:r>
            </w:hyperlink>
          </w:p>
          <w:p w14:paraId="4137F47B" w14:textId="77777777" w:rsidR="00261079" w:rsidRPr="00C84EBC" w:rsidRDefault="003F3820" w:rsidP="00CF59A2">
            <w:pPr>
              <w:rPr>
                <w:sz w:val="21"/>
                <w:szCs w:val="21"/>
              </w:rPr>
            </w:pPr>
            <w:hyperlink r:id="rId21" w:history="1">
              <w:r w:rsidR="00261079" w:rsidRPr="00C84EBC">
                <w:rPr>
                  <w:rStyle w:val="Hyperlink"/>
                  <w:sz w:val="21"/>
                  <w:szCs w:val="21"/>
                </w:rPr>
                <w:t>BTS Asthma Guidance</w:t>
              </w:r>
            </w:hyperlink>
          </w:p>
        </w:tc>
      </w:tr>
      <w:tr w:rsidR="00261079" w14:paraId="5111BBC9" w14:textId="77777777" w:rsidTr="00C84EBC">
        <w:trPr>
          <w:trHeight w:val="824"/>
        </w:trPr>
        <w:tc>
          <w:tcPr>
            <w:tcW w:w="7113" w:type="dxa"/>
          </w:tcPr>
          <w:p w14:paraId="2A5D610F" w14:textId="77777777" w:rsidR="00261079" w:rsidRPr="00C84EBC" w:rsidRDefault="00261079" w:rsidP="00CF59A2">
            <w:pPr>
              <w:rPr>
                <w:sz w:val="21"/>
                <w:szCs w:val="21"/>
              </w:rPr>
            </w:pPr>
            <w:r w:rsidRPr="00C84EBC">
              <w:rPr>
                <w:sz w:val="21"/>
                <w:szCs w:val="21"/>
              </w:rPr>
              <w:t>CYP treated with &gt;800 micrograms/day BDP (&gt;400 micrograms/day for fluticasone) should be under the care of a specialist paediatrician for the duration of high dose treatment. For children under 5 years of age, referral should be considered at lower ICS doses</w:t>
            </w:r>
          </w:p>
        </w:tc>
        <w:tc>
          <w:tcPr>
            <w:tcW w:w="1417" w:type="dxa"/>
          </w:tcPr>
          <w:p w14:paraId="163B1BE6" w14:textId="77777777" w:rsidR="00261079" w:rsidRPr="00C84EBC" w:rsidRDefault="00261079" w:rsidP="00CF59A2">
            <w:pPr>
              <w:rPr>
                <w:sz w:val="21"/>
                <w:szCs w:val="21"/>
              </w:rPr>
            </w:pPr>
          </w:p>
        </w:tc>
        <w:tc>
          <w:tcPr>
            <w:tcW w:w="1625" w:type="dxa"/>
          </w:tcPr>
          <w:p w14:paraId="5B6152FD" w14:textId="56870E44" w:rsidR="00261079" w:rsidRPr="00C84EBC" w:rsidRDefault="00261079" w:rsidP="00CF59A2">
            <w:pPr>
              <w:rPr>
                <w:sz w:val="21"/>
                <w:szCs w:val="21"/>
              </w:rPr>
            </w:pPr>
          </w:p>
        </w:tc>
        <w:tc>
          <w:tcPr>
            <w:tcW w:w="3793" w:type="dxa"/>
          </w:tcPr>
          <w:p w14:paraId="3FB9AC3F" w14:textId="77777777" w:rsidR="00261079" w:rsidRPr="00C84EBC" w:rsidRDefault="003F3820" w:rsidP="00CF59A2">
            <w:pPr>
              <w:rPr>
                <w:sz w:val="21"/>
                <w:szCs w:val="21"/>
              </w:rPr>
            </w:pPr>
            <w:hyperlink r:id="rId22" w:history="1">
              <w:r w:rsidR="00261079" w:rsidRPr="00C84EBC">
                <w:rPr>
                  <w:rStyle w:val="Hyperlink"/>
                  <w:sz w:val="21"/>
                  <w:szCs w:val="21"/>
                </w:rPr>
                <w:t>BTS Asthma Guidance</w:t>
              </w:r>
            </w:hyperlink>
          </w:p>
        </w:tc>
      </w:tr>
      <w:bookmarkEnd w:id="0"/>
    </w:tbl>
    <w:p w14:paraId="51374C04" w14:textId="77777777" w:rsidR="00261079" w:rsidRDefault="00261079" w:rsidP="00C84EBC"/>
    <w:sectPr w:rsidR="00261079" w:rsidSect="00F845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01B92" w14:textId="77777777" w:rsidR="00F845D2" w:rsidRDefault="00F845D2" w:rsidP="00F845D2">
      <w:pPr>
        <w:spacing w:after="0" w:line="240" w:lineRule="auto"/>
      </w:pPr>
      <w:r>
        <w:separator/>
      </w:r>
    </w:p>
  </w:endnote>
  <w:endnote w:type="continuationSeparator" w:id="0">
    <w:p w14:paraId="2A443595" w14:textId="77777777" w:rsidR="00F845D2" w:rsidRDefault="00F845D2" w:rsidP="00F8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0B6F7" w14:textId="77777777" w:rsidR="00F845D2" w:rsidRDefault="00F845D2" w:rsidP="00F845D2">
      <w:pPr>
        <w:spacing w:after="0" w:line="240" w:lineRule="auto"/>
      </w:pPr>
      <w:r>
        <w:separator/>
      </w:r>
    </w:p>
  </w:footnote>
  <w:footnote w:type="continuationSeparator" w:id="0">
    <w:p w14:paraId="22D74966" w14:textId="77777777" w:rsidR="00F845D2" w:rsidRDefault="00F845D2" w:rsidP="00F84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E03"/>
    <w:multiLevelType w:val="multilevel"/>
    <w:tmpl w:val="1AFA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D2"/>
    <w:rsid w:val="001530E0"/>
    <w:rsid w:val="001A679B"/>
    <w:rsid w:val="001D1C86"/>
    <w:rsid w:val="001D68AC"/>
    <w:rsid w:val="00261079"/>
    <w:rsid w:val="002B7295"/>
    <w:rsid w:val="003F3820"/>
    <w:rsid w:val="005F561F"/>
    <w:rsid w:val="007021A8"/>
    <w:rsid w:val="00815C2E"/>
    <w:rsid w:val="008A543A"/>
    <w:rsid w:val="009F177A"/>
    <w:rsid w:val="00A74DE7"/>
    <w:rsid w:val="00B96930"/>
    <w:rsid w:val="00BC4B5E"/>
    <w:rsid w:val="00C84EBC"/>
    <w:rsid w:val="00ED4A9F"/>
    <w:rsid w:val="00F84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D2"/>
  </w:style>
  <w:style w:type="paragraph" w:styleId="Footer">
    <w:name w:val="footer"/>
    <w:basedOn w:val="Normal"/>
    <w:link w:val="FooterChar"/>
    <w:uiPriority w:val="99"/>
    <w:unhideWhenUsed/>
    <w:rsid w:val="00F8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D2"/>
  </w:style>
  <w:style w:type="table" w:styleId="TableGrid">
    <w:name w:val="Table Grid"/>
    <w:basedOn w:val="TableNormal"/>
    <w:uiPriority w:val="39"/>
    <w:rsid w:val="00F8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0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5D2"/>
  </w:style>
  <w:style w:type="paragraph" w:styleId="Footer">
    <w:name w:val="footer"/>
    <w:basedOn w:val="Normal"/>
    <w:link w:val="FooterChar"/>
    <w:uiPriority w:val="99"/>
    <w:unhideWhenUsed/>
    <w:rsid w:val="00F8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5D2"/>
  </w:style>
  <w:style w:type="table" w:styleId="TableGrid">
    <w:name w:val="Table Grid"/>
    <w:basedOn w:val="TableNormal"/>
    <w:uiPriority w:val="39"/>
    <w:rsid w:val="00F8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33057">
      <w:bodyDiv w:val="1"/>
      <w:marLeft w:val="0"/>
      <w:marRight w:val="0"/>
      <w:marTop w:val="0"/>
      <w:marBottom w:val="0"/>
      <w:divBdr>
        <w:top w:val="none" w:sz="0" w:space="0" w:color="auto"/>
        <w:left w:val="none" w:sz="0" w:space="0" w:color="auto"/>
        <w:bottom w:val="none" w:sz="0" w:space="0" w:color="auto"/>
        <w:right w:val="none" w:sz="0" w:space="0" w:color="auto"/>
      </w:divBdr>
    </w:div>
    <w:div w:id="11408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thoracic.org.uk/document-library/clinical-information/asthma/btssign-asthma-guideline-2014/" TargetMode="External"/><Relationship Id="rId13" Type="http://schemas.openxmlformats.org/officeDocument/2006/relationships/hyperlink" Target="https://www.brit-thoracic.org.uk/document-library/clinical-information/asthma/btssign-asthma-guideline-2014/" TargetMode="External"/><Relationship Id="rId18" Type="http://schemas.openxmlformats.org/officeDocument/2006/relationships/hyperlink" Target="https://www.nice.org.uk/advice/ktt5/chapter/evidence-context" TargetMode="External"/><Relationship Id="rId3" Type="http://schemas.microsoft.com/office/2007/relationships/stylesWithEffects" Target="stylesWithEffects.xml"/><Relationship Id="rId21" Type="http://schemas.openxmlformats.org/officeDocument/2006/relationships/hyperlink" Target="https://www.brit-thoracic.org.uk/document-library/clinical-information/asthma/btssign-asthma-guideline-2014/" TargetMode="External"/><Relationship Id="rId7" Type="http://schemas.openxmlformats.org/officeDocument/2006/relationships/endnotes" Target="endnotes.xml"/><Relationship Id="rId12" Type="http://schemas.openxmlformats.org/officeDocument/2006/relationships/hyperlink" Target="https://www.nice.org.uk/guidance/qs25" TargetMode="External"/><Relationship Id="rId17" Type="http://schemas.openxmlformats.org/officeDocument/2006/relationships/hyperlink" Target="https://www.brit-thoracic.org.uk/document-library/clinical-information/asthma/btssign-asthma-guideline-2014/" TargetMode="External"/><Relationship Id="rId2" Type="http://schemas.openxmlformats.org/officeDocument/2006/relationships/styles" Target="styles.xml"/><Relationship Id="rId16" Type="http://schemas.openxmlformats.org/officeDocument/2006/relationships/hyperlink" Target="https://www.gov.uk/government/publications/influenza-the-green-book-chapter-19" TargetMode="External"/><Relationship Id="rId20" Type="http://schemas.openxmlformats.org/officeDocument/2006/relationships/hyperlink" Target="https://www.nice.org.uk/advice/ktt5/chapter/evidence-conte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sthma.org.uk/advice/inhalers-medicines-treatments/using-inhal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cplondon.ac.uk/projects/outputs/why-asthma-still-kills" TargetMode="External"/><Relationship Id="rId23" Type="http://schemas.openxmlformats.org/officeDocument/2006/relationships/fontTable" Target="fontTable.xml"/><Relationship Id="rId10" Type="http://schemas.openxmlformats.org/officeDocument/2006/relationships/hyperlink" Target="https://www.brit-thoracic.org.uk/document-library/clinical-information/asthma/btssign-asthma-guideline-2014/" TargetMode="External"/><Relationship Id="rId19" Type="http://schemas.openxmlformats.org/officeDocument/2006/relationships/hyperlink" Target="https://www.nice.org.uk/advice/ktt5/chapter/evidence-context" TargetMode="External"/><Relationship Id="rId4" Type="http://schemas.openxmlformats.org/officeDocument/2006/relationships/settings" Target="settings.xml"/><Relationship Id="rId9" Type="http://schemas.openxmlformats.org/officeDocument/2006/relationships/hyperlink" Target="https://www.nice.org.uk/guidance/qs25" TargetMode="External"/><Relationship Id="rId14" Type="http://schemas.openxmlformats.org/officeDocument/2006/relationships/hyperlink" Target="https://www.asthma.org.uk/advice/inhalers-medicines-treatments/using-inhalers/" TargetMode="External"/><Relationship Id="rId22" Type="http://schemas.openxmlformats.org/officeDocument/2006/relationships/hyperlink" Target="https://www.brit-thoracic.org.uk/document-library/clinical-information/asthma/btssign-asthma-guideline-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Kenna, Brian</dc:creator>
  <cp:lastModifiedBy>Sara Nelson</cp:lastModifiedBy>
  <cp:revision>2</cp:revision>
  <dcterms:created xsi:type="dcterms:W3CDTF">2016-04-11T15:33:00Z</dcterms:created>
  <dcterms:modified xsi:type="dcterms:W3CDTF">2016-04-11T15:33:00Z</dcterms:modified>
</cp:coreProperties>
</file>