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E1" w:rsidRPr="000F7A84" w:rsidRDefault="00592AE1" w:rsidP="00633EDB">
      <w:pPr>
        <w:pStyle w:val="NoSpacing"/>
        <w:jc w:val="both"/>
        <w:rPr>
          <w:b/>
          <w:sz w:val="26"/>
          <w:szCs w:val="26"/>
        </w:rPr>
      </w:pPr>
      <w:r w:rsidRPr="000F7A84">
        <w:rPr>
          <w:b/>
          <w:sz w:val="26"/>
          <w:szCs w:val="26"/>
        </w:rPr>
        <w:t>Audit of the Management of Asthma Patients on Inhaled Corticosteroids in Primary Care</w:t>
      </w:r>
    </w:p>
    <w:p w:rsidR="00592AE1" w:rsidRPr="004D6FC4" w:rsidRDefault="00592AE1" w:rsidP="00633EDB">
      <w:pPr>
        <w:pStyle w:val="NoSpacing"/>
        <w:jc w:val="both"/>
        <w:rPr>
          <w:sz w:val="16"/>
        </w:rPr>
      </w:pPr>
    </w:p>
    <w:p w:rsidR="00592AE1" w:rsidRPr="004D6FC4" w:rsidRDefault="00E50494" w:rsidP="00633EDB">
      <w:pPr>
        <w:pStyle w:val="NoSpacing"/>
        <w:jc w:val="both"/>
        <w:rPr>
          <w:sz w:val="20"/>
        </w:rPr>
      </w:pPr>
      <w:r>
        <w:rPr>
          <w:sz w:val="20"/>
        </w:rPr>
        <w:t>Medicines Optimisation</w:t>
      </w:r>
      <w:r w:rsidR="00592AE1" w:rsidRPr="004D6FC4">
        <w:rPr>
          <w:sz w:val="20"/>
        </w:rPr>
        <w:t xml:space="preserve"> Team, Croydon CCG</w:t>
      </w:r>
    </w:p>
    <w:p w:rsidR="00592AE1" w:rsidRPr="000F7A84" w:rsidRDefault="00592AE1" w:rsidP="00633EDB">
      <w:pPr>
        <w:pStyle w:val="NoSpacing"/>
        <w:jc w:val="both"/>
        <w:rPr>
          <w:sz w:val="18"/>
          <w:szCs w:val="18"/>
        </w:rPr>
      </w:pPr>
    </w:p>
    <w:p w:rsidR="00592AE1" w:rsidRPr="004D6FC4" w:rsidRDefault="00592AE1" w:rsidP="00633EDB">
      <w:pPr>
        <w:pStyle w:val="NoSpacing"/>
        <w:jc w:val="both"/>
        <w:rPr>
          <w:b/>
        </w:rPr>
      </w:pPr>
      <w:r w:rsidRPr="004D6FC4">
        <w:rPr>
          <w:b/>
        </w:rPr>
        <w:t>Introduction</w:t>
      </w:r>
    </w:p>
    <w:p w:rsidR="001D14F4" w:rsidRPr="00AB2CBC" w:rsidRDefault="00790B10" w:rsidP="001D14F4">
      <w:pPr>
        <w:pStyle w:val="NoSpacing"/>
        <w:jc w:val="both"/>
      </w:pPr>
      <w:r w:rsidRPr="00AB2CBC">
        <w:t xml:space="preserve">In </w:t>
      </w:r>
      <w:r w:rsidR="001D14F4" w:rsidRPr="00AB2CBC">
        <w:t>Croydon Clinical Commissioning Group (CCG) respiratory prescribing costs</w:t>
      </w:r>
      <w:r w:rsidR="00C86EBE" w:rsidRPr="00AB2CBC">
        <w:t xml:space="preserve"> account for </w:t>
      </w:r>
      <w:r w:rsidR="001D14F4" w:rsidRPr="00AB2CBC">
        <w:t>approx. 10% of the prescribing budget</w:t>
      </w:r>
      <w:r w:rsidR="00C86EBE" w:rsidRPr="00AB2CBC">
        <w:t>. Combination I</w:t>
      </w:r>
      <w:r w:rsidR="001D14F4" w:rsidRPr="00AB2CBC">
        <w:t xml:space="preserve">nhaled </w:t>
      </w:r>
      <w:r w:rsidR="00C86EBE" w:rsidRPr="00AB2CBC">
        <w:t>C</w:t>
      </w:r>
      <w:r w:rsidR="001D14F4" w:rsidRPr="00AB2CBC">
        <w:t xml:space="preserve">orticosteroid </w:t>
      </w:r>
      <w:r w:rsidR="003328A5" w:rsidRPr="00AB2CBC">
        <w:t xml:space="preserve">(ICS) </w:t>
      </w:r>
      <w:r w:rsidR="001D14F4" w:rsidRPr="00AB2CBC">
        <w:t xml:space="preserve">inhalers account for a significant proportion of </w:t>
      </w:r>
      <w:r w:rsidR="00C86EBE" w:rsidRPr="00AB2CBC">
        <w:t xml:space="preserve">this </w:t>
      </w:r>
      <w:r w:rsidR="001D14F4" w:rsidRPr="00AB2CBC">
        <w:t xml:space="preserve">cost. </w:t>
      </w:r>
      <w:r w:rsidR="00C86EBE" w:rsidRPr="00AB2CBC">
        <w:t xml:space="preserve">Analysis of prescribing cost data suggests that there is variation in spend on respiratory costs across GP Practices and recent Public Health data suggests that, in Croydon, there are </w:t>
      </w:r>
      <w:r w:rsidR="001D14F4" w:rsidRPr="00AB2CBC">
        <w:t>high numbers of A&amp;E attendances and emergency admissions associated with asthma.</w:t>
      </w:r>
    </w:p>
    <w:p w:rsidR="0044239F" w:rsidRPr="00AB2CBC" w:rsidRDefault="0044239F" w:rsidP="0044239F">
      <w:pPr>
        <w:pStyle w:val="NoSpacing"/>
        <w:jc w:val="both"/>
      </w:pPr>
    </w:p>
    <w:p w:rsidR="0044239F" w:rsidRPr="00AB2CBC" w:rsidRDefault="00C86EBE" w:rsidP="0044239F">
      <w:pPr>
        <w:pStyle w:val="NoSpacing"/>
        <w:jc w:val="both"/>
      </w:pPr>
      <w:r w:rsidRPr="00AB2CBC">
        <w:t>Although</w:t>
      </w:r>
      <w:r w:rsidR="0044239F" w:rsidRPr="00AB2CBC">
        <w:t xml:space="preserve"> CCG Pharmacists have been promoting the L</w:t>
      </w:r>
      <w:r w:rsidRPr="00AB2CBC">
        <w:t>ondon Respiratory Team, ‘</w:t>
      </w:r>
      <w:r w:rsidR="0044239F" w:rsidRPr="00AB2CBC">
        <w:rPr>
          <w:i/>
        </w:rPr>
        <w:t>Getting Best Value from Respiratory Spend</w:t>
      </w:r>
      <w:r w:rsidRPr="00AB2CBC">
        <w:rPr>
          <w:i/>
        </w:rPr>
        <w:t>’</w:t>
      </w:r>
      <w:r w:rsidR="0044239F" w:rsidRPr="00AB2CBC">
        <w:rPr>
          <w:i/>
          <w:vertAlign w:val="superscript"/>
        </w:rPr>
        <w:t>1</w:t>
      </w:r>
      <w:r w:rsidRPr="00AB2CBC">
        <w:rPr>
          <w:vertAlign w:val="superscript"/>
        </w:rPr>
        <w:t xml:space="preserve"> </w:t>
      </w:r>
      <w:r w:rsidRPr="00AB2CBC">
        <w:t>guidance in Croydon since 2011, the necessity for continual re-</w:t>
      </w:r>
      <w:r w:rsidR="005F2F5A" w:rsidRPr="00AB2CBC">
        <w:t>enforcement</w:t>
      </w:r>
      <w:r w:rsidRPr="00AB2CBC">
        <w:t xml:space="preserve"> </w:t>
      </w:r>
      <w:r w:rsidR="00CB56B1" w:rsidRPr="00AB2CBC">
        <w:t>of</w:t>
      </w:r>
      <w:r w:rsidRPr="00AB2CBC">
        <w:t xml:space="preserve"> the need for respiratory therapy review has been</w:t>
      </w:r>
      <w:r w:rsidR="0044239F" w:rsidRPr="00AB2CBC">
        <w:t xml:space="preserve"> recognised</w:t>
      </w:r>
      <w:r w:rsidRPr="00AB2CBC">
        <w:t>. T</w:t>
      </w:r>
      <w:r w:rsidR="00041802" w:rsidRPr="00AB2CBC">
        <w:t xml:space="preserve">he subsequent publication of the </w:t>
      </w:r>
      <w:r w:rsidR="00DB0B6C" w:rsidRPr="00AB2CBC">
        <w:t>‘</w:t>
      </w:r>
      <w:r w:rsidR="00041802" w:rsidRPr="00AB2CBC">
        <w:rPr>
          <w:i/>
        </w:rPr>
        <w:t>Why asthma still kills - The National Review of Asthma Deaths (NRAD) report</w:t>
      </w:r>
      <w:r w:rsidR="00DB0B6C" w:rsidRPr="00AB2CBC">
        <w:rPr>
          <w:i/>
        </w:rPr>
        <w:t>’</w:t>
      </w:r>
      <w:r w:rsidR="00041802" w:rsidRPr="00AB2CBC">
        <w:rPr>
          <w:i/>
          <w:vertAlign w:val="superscript"/>
        </w:rPr>
        <w:t>2</w:t>
      </w:r>
      <w:r w:rsidR="00041802" w:rsidRPr="00AB2CBC">
        <w:rPr>
          <w:i/>
        </w:rPr>
        <w:t xml:space="preserve"> </w:t>
      </w:r>
      <w:r w:rsidR="00041802" w:rsidRPr="00AB2CBC">
        <w:t xml:space="preserve">also highlighted </w:t>
      </w:r>
      <w:r w:rsidR="00597006" w:rsidRPr="00AB2CBC">
        <w:t>the need to improve care and reduce the number of deaths by</w:t>
      </w:r>
      <w:r w:rsidR="0044239F" w:rsidRPr="00AB2CBC">
        <w:t>:</w:t>
      </w:r>
    </w:p>
    <w:p w:rsidR="0044239F" w:rsidRPr="00AB2CBC" w:rsidRDefault="00041802" w:rsidP="0044239F">
      <w:pPr>
        <w:pStyle w:val="NoSpacing"/>
        <w:numPr>
          <w:ilvl w:val="0"/>
          <w:numId w:val="2"/>
        </w:numPr>
        <w:jc w:val="both"/>
      </w:pPr>
      <w:r w:rsidRPr="00AB2CBC">
        <w:t>Identify</w:t>
      </w:r>
      <w:r w:rsidR="005F2F5A" w:rsidRPr="00AB2CBC">
        <w:t>ing</w:t>
      </w:r>
      <w:r w:rsidRPr="00AB2CBC">
        <w:t xml:space="preserve"> </w:t>
      </w:r>
      <w:r w:rsidR="0044239F" w:rsidRPr="00AB2CBC">
        <w:t>patients who may benefit from inhaled corticosteroid (ICS) dose optimisation</w:t>
      </w:r>
    </w:p>
    <w:p w:rsidR="0044239F" w:rsidRPr="00AB2CBC" w:rsidRDefault="0044239F" w:rsidP="0044239F">
      <w:pPr>
        <w:pStyle w:val="NoSpacing"/>
        <w:numPr>
          <w:ilvl w:val="0"/>
          <w:numId w:val="2"/>
        </w:numPr>
        <w:jc w:val="both"/>
      </w:pPr>
      <w:r w:rsidRPr="00AB2CBC">
        <w:t>monitor</w:t>
      </w:r>
      <w:r w:rsidR="005F2F5A" w:rsidRPr="00AB2CBC">
        <w:t>ing</w:t>
      </w:r>
      <w:r w:rsidRPr="00AB2CBC">
        <w:t xml:space="preserve"> for overuse of short acting beta agonist (SABA) inhalers</w:t>
      </w:r>
    </w:p>
    <w:p w:rsidR="0044239F" w:rsidRPr="00AB2CBC" w:rsidRDefault="005F2F5A" w:rsidP="0044239F">
      <w:pPr>
        <w:pStyle w:val="NoSpacing"/>
        <w:numPr>
          <w:ilvl w:val="0"/>
          <w:numId w:val="2"/>
        </w:numPr>
        <w:jc w:val="both"/>
      </w:pPr>
      <w:r w:rsidRPr="00AB2CBC">
        <w:t>ensuring</w:t>
      </w:r>
      <w:r w:rsidR="00041802" w:rsidRPr="00AB2CBC">
        <w:t xml:space="preserve"> </w:t>
      </w:r>
      <w:r w:rsidR="0044239F" w:rsidRPr="00AB2CBC">
        <w:t>inhaler technique assessment and</w:t>
      </w:r>
      <w:r w:rsidR="00041802" w:rsidRPr="00AB2CBC">
        <w:t xml:space="preserve"> the issuing </w:t>
      </w:r>
      <w:r w:rsidR="0044239F" w:rsidRPr="00AB2CBC">
        <w:t>of spacer device</w:t>
      </w:r>
      <w:r w:rsidR="00041802" w:rsidRPr="00AB2CBC">
        <w:t>s</w:t>
      </w:r>
    </w:p>
    <w:p w:rsidR="001C3B9E" w:rsidRPr="00AB2CBC" w:rsidRDefault="00041802" w:rsidP="001C3B9E">
      <w:pPr>
        <w:pStyle w:val="NoSpacing"/>
        <w:numPr>
          <w:ilvl w:val="0"/>
          <w:numId w:val="2"/>
        </w:numPr>
        <w:jc w:val="both"/>
      </w:pPr>
      <w:r w:rsidRPr="00AB2CBC">
        <w:t>ensur</w:t>
      </w:r>
      <w:r w:rsidR="005F2F5A" w:rsidRPr="00AB2CBC">
        <w:t>ing</w:t>
      </w:r>
      <w:r w:rsidRPr="00AB2CBC">
        <w:t xml:space="preserve"> </w:t>
      </w:r>
      <w:r w:rsidR="0044239F" w:rsidRPr="00AB2CBC">
        <w:t>patients have</w:t>
      </w:r>
      <w:r w:rsidRPr="00AB2CBC">
        <w:t xml:space="preserve"> had </w:t>
      </w:r>
      <w:r w:rsidR="00231A7D" w:rsidRPr="00AB2CBC">
        <w:t>an a</w:t>
      </w:r>
      <w:r w:rsidR="0044239F" w:rsidRPr="00AB2CBC">
        <w:t>nnual asthma r</w:t>
      </w:r>
      <w:r w:rsidRPr="00AB2CBC">
        <w:t xml:space="preserve">eview </w:t>
      </w:r>
      <w:r w:rsidR="0044239F" w:rsidRPr="00AB2CBC">
        <w:t>within the last 12 months</w:t>
      </w:r>
    </w:p>
    <w:p w:rsidR="001D14F4" w:rsidRPr="00AB2CBC" w:rsidRDefault="001D14F4" w:rsidP="001D14F4">
      <w:pPr>
        <w:pStyle w:val="NoSpacing"/>
        <w:jc w:val="both"/>
      </w:pPr>
    </w:p>
    <w:p w:rsidR="00592AE1" w:rsidRPr="001C3B9E" w:rsidRDefault="001C3B9E" w:rsidP="00633EDB">
      <w:pPr>
        <w:pStyle w:val="NoSpacing"/>
        <w:jc w:val="both"/>
        <w:rPr>
          <w:b/>
          <w:color w:val="FF0000"/>
        </w:rPr>
      </w:pPr>
      <w:r w:rsidRPr="00AB2CBC">
        <w:t>To gain an understanding of current practice, the 2014/15</w:t>
      </w:r>
      <w:r w:rsidRPr="00AB2CBC">
        <w:rPr>
          <w:b/>
        </w:rPr>
        <w:t xml:space="preserve"> </w:t>
      </w:r>
      <w:r w:rsidR="00B83B41" w:rsidRPr="00AB2CBC">
        <w:t xml:space="preserve">Croydon CCG Prescribing Incentive Scheme included an audit of all paediatric patients and 20 adult patients per 2000 practice list size on the asthma register receiving high dose ICS. </w:t>
      </w:r>
      <w:r w:rsidRPr="00AB2CBC">
        <w:t xml:space="preserve"> E</w:t>
      </w:r>
      <w:r w:rsidR="00B5439B" w:rsidRPr="00AB2CBC">
        <w:t>ducational sessions were delivered to clinicians by the Respiratory Leads from</w:t>
      </w:r>
      <w:r w:rsidRPr="00AB2CBC">
        <w:t xml:space="preserve"> the London Respiratory Network, local </w:t>
      </w:r>
      <w:r w:rsidR="00B5439B" w:rsidRPr="00AB2CBC">
        <w:t xml:space="preserve">Respiratory Consultants and </w:t>
      </w:r>
      <w:r w:rsidR="00825C3D" w:rsidRPr="00AB2CBC">
        <w:t xml:space="preserve">CCG </w:t>
      </w:r>
      <w:r w:rsidRPr="00AB2CBC">
        <w:t xml:space="preserve">Pharmacists. </w:t>
      </w:r>
      <w:r w:rsidR="00B5439B" w:rsidRPr="00AB2CBC">
        <w:t xml:space="preserve">Supporting information was also provided </w:t>
      </w:r>
      <w:r w:rsidRPr="00AB2CBC">
        <w:t>in the form of</w:t>
      </w:r>
      <w:r w:rsidR="00B5439B" w:rsidRPr="00AB2CBC">
        <w:t xml:space="preserve"> newsletters, </w:t>
      </w:r>
      <w:r w:rsidR="00B83B41" w:rsidRPr="00AB2CBC">
        <w:t xml:space="preserve">audit data collection templates and </w:t>
      </w:r>
      <w:r w:rsidR="00B5439B" w:rsidRPr="00AB2CBC">
        <w:t>audit support documentation</w:t>
      </w:r>
      <w:r w:rsidR="00BD66C9" w:rsidRPr="004D6FC4">
        <w:t>.</w:t>
      </w:r>
    </w:p>
    <w:p w:rsidR="00592AE1" w:rsidRPr="004D6FC4" w:rsidRDefault="00592AE1" w:rsidP="00633EDB">
      <w:pPr>
        <w:pStyle w:val="NoSpacing"/>
        <w:jc w:val="both"/>
      </w:pPr>
    </w:p>
    <w:p w:rsidR="00AD7321" w:rsidRPr="004D6FC4" w:rsidRDefault="00592AE1" w:rsidP="00AD7321">
      <w:pPr>
        <w:pStyle w:val="NoSpacing"/>
        <w:jc w:val="both"/>
        <w:rPr>
          <w:b/>
        </w:rPr>
      </w:pPr>
      <w:r w:rsidRPr="004D6FC4">
        <w:rPr>
          <w:b/>
        </w:rPr>
        <w:t>Results</w:t>
      </w:r>
      <w:r w:rsidR="00AD7321" w:rsidRPr="004D6FC4">
        <w:rPr>
          <w:b/>
        </w:rPr>
        <w:t xml:space="preserve"> and</w:t>
      </w:r>
      <w:r w:rsidRPr="004D6FC4">
        <w:rPr>
          <w:b/>
        </w:rPr>
        <w:t xml:space="preserve"> </w:t>
      </w:r>
      <w:r w:rsidR="00AD7321" w:rsidRPr="004D6FC4">
        <w:rPr>
          <w:b/>
        </w:rPr>
        <w:t>Discussion</w:t>
      </w:r>
    </w:p>
    <w:p w:rsidR="00B07B21" w:rsidRDefault="00B07B21" w:rsidP="00633EDB">
      <w:pPr>
        <w:pStyle w:val="NoSpacing"/>
        <w:jc w:val="both"/>
      </w:pPr>
      <w:r w:rsidRPr="004D6FC4">
        <w:t>58 of 59 GP practices submitted audit data for analysis.</w:t>
      </w:r>
    </w:p>
    <w:p w:rsidR="00E91091" w:rsidRPr="004D6FC4" w:rsidRDefault="00E91091" w:rsidP="00633EDB">
      <w:pPr>
        <w:pStyle w:val="NoSpacing"/>
        <w:jc w:val="both"/>
      </w:pPr>
    </w:p>
    <w:p w:rsidR="004D6FC4" w:rsidRPr="00E91091" w:rsidRDefault="00E91091" w:rsidP="00633EDB">
      <w:pPr>
        <w:pStyle w:val="NoSpacing"/>
        <w:jc w:val="both"/>
        <w:rPr>
          <w:b/>
          <w:sz w:val="20"/>
        </w:rPr>
      </w:pPr>
      <w:r w:rsidRPr="00E91091">
        <w:rPr>
          <w:b/>
          <w:sz w:val="20"/>
        </w:rPr>
        <w:t xml:space="preserve">Table1: </w:t>
      </w:r>
      <w:r w:rsidR="00FE5EEE">
        <w:rPr>
          <w:b/>
          <w:sz w:val="20"/>
        </w:rPr>
        <w:t>Summary of patients audited</w:t>
      </w:r>
    </w:p>
    <w:tbl>
      <w:tblPr>
        <w:tblStyle w:val="MediumGrid3-Accent1"/>
        <w:tblW w:w="10776" w:type="dxa"/>
        <w:jc w:val="center"/>
        <w:tblLayout w:type="fixed"/>
        <w:tblLook w:val="0420" w:firstRow="1" w:lastRow="0" w:firstColumn="0" w:lastColumn="0" w:noHBand="0" w:noVBand="1"/>
      </w:tblPr>
      <w:tblGrid>
        <w:gridCol w:w="995"/>
        <w:gridCol w:w="1956"/>
        <w:gridCol w:w="2827"/>
        <w:gridCol w:w="1666"/>
        <w:gridCol w:w="1666"/>
        <w:gridCol w:w="1666"/>
      </w:tblGrid>
      <w:tr w:rsidR="00760837" w:rsidRPr="004D6FC4" w:rsidTr="005A11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  <w:jc w:val="center"/>
        </w:trPr>
        <w:tc>
          <w:tcPr>
            <w:tcW w:w="995" w:type="dxa"/>
            <w:vAlign w:val="center"/>
            <w:hideMark/>
          </w:tcPr>
          <w:p w:rsidR="00760837" w:rsidRPr="00B07B21" w:rsidRDefault="00760837" w:rsidP="006B5A6D">
            <w:pPr>
              <w:jc w:val="center"/>
              <w:rPr>
                <w:rFonts w:eastAsia="Times New Roman" w:cstheme="minorHAnsi"/>
                <w:sz w:val="18"/>
                <w:szCs w:val="20"/>
                <w:lang w:eastAsia="en-GB"/>
              </w:rPr>
            </w:pPr>
          </w:p>
        </w:tc>
        <w:tc>
          <w:tcPr>
            <w:tcW w:w="1956" w:type="dxa"/>
            <w:vAlign w:val="center"/>
            <w:hideMark/>
          </w:tcPr>
          <w:p w:rsidR="00B07B21" w:rsidRPr="00B07B21" w:rsidRDefault="00760837" w:rsidP="006B5A6D">
            <w:pPr>
              <w:jc w:val="center"/>
              <w:rPr>
                <w:rFonts w:eastAsia="Times New Roman" w:cstheme="minorHAnsi"/>
                <w:sz w:val="18"/>
                <w:szCs w:val="20"/>
                <w:lang w:eastAsia="en-GB"/>
              </w:rPr>
            </w:pPr>
            <w:r w:rsidRPr="00B07B21">
              <w:rPr>
                <w:rFonts w:eastAsia="Times New Roman" w:cstheme="minorHAnsi"/>
                <w:color w:val="FFFFFF" w:themeColor="light1"/>
                <w:kern w:val="24"/>
                <w:sz w:val="18"/>
                <w:szCs w:val="20"/>
                <w:lang w:eastAsia="en-GB"/>
              </w:rPr>
              <w:t>No. of patients on ICS</w:t>
            </w:r>
          </w:p>
        </w:tc>
        <w:tc>
          <w:tcPr>
            <w:tcW w:w="2827" w:type="dxa"/>
            <w:vAlign w:val="center"/>
            <w:hideMark/>
          </w:tcPr>
          <w:p w:rsidR="00B07B21" w:rsidRPr="00B07B21" w:rsidRDefault="00760837" w:rsidP="006B5A6D">
            <w:pPr>
              <w:jc w:val="center"/>
              <w:rPr>
                <w:rFonts w:eastAsia="Times New Roman" w:cstheme="minorHAnsi"/>
                <w:sz w:val="18"/>
                <w:szCs w:val="20"/>
                <w:lang w:eastAsia="en-GB"/>
              </w:rPr>
            </w:pPr>
            <w:r w:rsidRPr="00B07B21">
              <w:rPr>
                <w:rFonts w:eastAsia="Times New Roman" w:cstheme="minorHAnsi"/>
                <w:color w:val="FFFFFF" w:themeColor="light1"/>
                <w:kern w:val="24"/>
                <w:sz w:val="18"/>
                <w:szCs w:val="20"/>
                <w:lang w:eastAsia="en-GB"/>
              </w:rPr>
              <w:t>No. (%) of patients on ‘high’ dose ICS reviewed during the audit</w:t>
            </w:r>
          </w:p>
        </w:tc>
        <w:tc>
          <w:tcPr>
            <w:tcW w:w="1666" w:type="dxa"/>
            <w:vAlign w:val="center"/>
          </w:tcPr>
          <w:p w:rsidR="00760837" w:rsidRPr="00760837" w:rsidRDefault="00760837" w:rsidP="006B5A6D">
            <w:pPr>
              <w:jc w:val="center"/>
              <w:rPr>
                <w:rFonts w:eastAsia="Times New Roman" w:cstheme="minorHAnsi"/>
                <w:sz w:val="18"/>
                <w:szCs w:val="20"/>
                <w:lang w:eastAsia="en-GB"/>
              </w:rPr>
            </w:pPr>
            <w:r w:rsidRPr="00760837">
              <w:rPr>
                <w:rFonts w:eastAsia="Times New Roman" w:cstheme="minorHAnsi"/>
                <w:color w:val="FFFFFF" w:themeColor="light1"/>
                <w:kern w:val="24"/>
                <w:sz w:val="18"/>
                <w:szCs w:val="20"/>
                <w:lang w:eastAsia="en-GB"/>
              </w:rPr>
              <w:t>No. (%)</w:t>
            </w:r>
          </w:p>
          <w:p w:rsidR="00760837" w:rsidRPr="00760837" w:rsidRDefault="00760837" w:rsidP="006B5A6D">
            <w:pPr>
              <w:jc w:val="center"/>
              <w:rPr>
                <w:rFonts w:eastAsia="Times New Roman" w:cstheme="minorHAnsi"/>
                <w:sz w:val="18"/>
                <w:szCs w:val="20"/>
                <w:lang w:eastAsia="en-GB"/>
              </w:rPr>
            </w:pPr>
            <w:r w:rsidRPr="00760837">
              <w:rPr>
                <w:rFonts w:eastAsia="Times New Roman" w:cstheme="minorHAnsi"/>
                <w:color w:val="FFFFFF" w:themeColor="light1"/>
                <w:kern w:val="24"/>
                <w:sz w:val="18"/>
                <w:szCs w:val="20"/>
                <w:lang w:eastAsia="en-GB"/>
              </w:rPr>
              <w:t>patients</w:t>
            </w:r>
          </w:p>
          <w:p w:rsidR="00760837" w:rsidRPr="00760837" w:rsidRDefault="00760837" w:rsidP="006B5A6D">
            <w:pPr>
              <w:jc w:val="center"/>
              <w:rPr>
                <w:rFonts w:eastAsia="Times New Roman" w:cstheme="minorHAnsi"/>
                <w:sz w:val="18"/>
                <w:szCs w:val="20"/>
                <w:lang w:eastAsia="en-GB"/>
              </w:rPr>
            </w:pPr>
            <w:r w:rsidRPr="00760837">
              <w:rPr>
                <w:rFonts w:eastAsia="Times New Roman" w:cstheme="minorHAnsi"/>
                <w:color w:val="FFFFFF" w:themeColor="light1"/>
                <w:kern w:val="24"/>
                <w:sz w:val="18"/>
                <w:szCs w:val="20"/>
                <w:lang w:eastAsia="en-GB"/>
              </w:rPr>
              <w:t>Step 2</w:t>
            </w:r>
          </w:p>
        </w:tc>
        <w:tc>
          <w:tcPr>
            <w:tcW w:w="1666" w:type="dxa"/>
            <w:vAlign w:val="center"/>
          </w:tcPr>
          <w:p w:rsidR="00760837" w:rsidRPr="00760837" w:rsidRDefault="00760837" w:rsidP="006B5A6D">
            <w:pPr>
              <w:jc w:val="center"/>
              <w:rPr>
                <w:rFonts w:eastAsia="Times New Roman" w:cstheme="minorHAnsi"/>
                <w:sz w:val="18"/>
                <w:szCs w:val="20"/>
                <w:lang w:eastAsia="en-GB"/>
              </w:rPr>
            </w:pPr>
            <w:r w:rsidRPr="00760837">
              <w:rPr>
                <w:rFonts w:eastAsia="Times New Roman" w:cstheme="minorHAnsi"/>
                <w:color w:val="FFFFFF" w:themeColor="light1"/>
                <w:kern w:val="24"/>
                <w:sz w:val="18"/>
                <w:szCs w:val="20"/>
                <w:lang w:eastAsia="en-GB"/>
              </w:rPr>
              <w:t>No. (%)</w:t>
            </w:r>
          </w:p>
          <w:p w:rsidR="00760837" w:rsidRPr="00760837" w:rsidRDefault="00760837" w:rsidP="006B5A6D">
            <w:pPr>
              <w:jc w:val="center"/>
              <w:rPr>
                <w:rFonts w:eastAsia="Times New Roman" w:cstheme="minorHAnsi"/>
                <w:sz w:val="18"/>
                <w:szCs w:val="20"/>
                <w:lang w:eastAsia="en-GB"/>
              </w:rPr>
            </w:pPr>
            <w:r w:rsidRPr="00760837">
              <w:rPr>
                <w:rFonts w:eastAsia="Times New Roman" w:cstheme="minorHAnsi"/>
                <w:color w:val="FFFFFF" w:themeColor="light1"/>
                <w:kern w:val="24"/>
                <w:sz w:val="18"/>
                <w:szCs w:val="20"/>
                <w:lang w:eastAsia="en-GB"/>
              </w:rPr>
              <w:t>patients</w:t>
            </w:r>
          </w:p>
          <w:p w:rsidR="00760837" w:rsidRPr="00760837" w:rsidRDefault="00760837" w:rsidP="006B5A6D">
            <w:pPr>
              <w:jc w:val="center"/>
              <w:rPr>
                <w:rFonts w:eastAsia="Times New Roman" w:cstheme="minorHAnsi"/>
                <w:sz w:val="18"/>
                <w:szCs w:val="20"/>
                <w:lang w:eastAsia="en-GB"/>
              </w:rPr>
            </w:pPr>
            <w:r w:rsidRPr="00760837">
              <w:rPr>
                <w:rFonts w:eastAsia="Times New Roman" w:cstheme="minorHAnsi"/>
                <w:color w:val="FFFFFF" w:themeColor="light1"/>
                <w:kern w:val="24"/>
                <w:sz w:val="18"/>
                <w:szCs w:val="20"/>
                <w:lang w:eastAsia="en-GB"/>
              </w:rPr>
              <w:t>Step 3</w:t>
            </w:r>
          </w:p>
        </w:tc>
        <w:tc>
          <w:tcPr>
            <w:tcW w:w="1666" w:type="dxa"/>
            <w:vAlign w:val="center"/>
          </w:tcPr>
          <w:p w:rsidR="00760837" w:rsidRPr="00760837" w:rsidRDefault="00760837" w:rsidP="006B5A6D">
            <w:pPr>
              <w:jc w:val="center"/>
              <w:rPr>
                <w:rFonts w:eastAsia="Times New Roman" w:cstheme="minorHAnsi"/>
                <w:sz w:val="18"/>
                <w:szCs w:val="20"/>
                <w:lang w:eastAsia="en-GB"/>
              </w:rPr>
            </w:pPr>
            <w:r w:rsidRPr="00760837">
              <w:rPr>
                <w:rFonts w:eastAsia="Times New Roman" w:cstheme="minorHAnsi"/>
                <w:color w:val="FFFFFF" w:themeColor="light1"/>
                <w:kern w:val="24"/>
                <w:sz w:val="18"/>
                <w:szCs w:val="20"/>
                <w:lang w:eastAsia="en-GB"/>
              </w:rPr>
              <w:t>No. (%)</w:t>
            </w:r>
          </w:p>
          <w:p w:rsidR="00760837" w:rsidRPr="00760837" w:rsidRDefault="00760837" w:rsidP="006B5A6D">
            <w:pPr>
              <w:jc w:val="center"/>
              <w:rPr>
                <w:rFonts w:eastAsia="Times New Roman" w:cstheme="minorHAnsi"/>
                <w:sz w:val="18"/>
                <w:szCs w:val="20"/>
                <w:lang w:eastAsia="en-GB"/>
              </w:rPr>
            </w:pPr>
            <w:r w:rsidRPr="00760837">
              <w:rPr>
                <w:rFonts w:eastAsia="Times New Roman" w:cstheme="minorHAnsi"/>
                <w:color w:val="FFFFFF" w:themeColor="light1"/>
                <w:kern w:val="24"/>
                <w:sz w:val="18"/>
                <w:szCs w:val="20"/>
                <w:lang w:eastAsia="en-GB"/>
              </w:rPr>
              <w:t>patients</w:t>
            </w:r>
          </w:p>
          <w:p w:rsidR="00760837" w:rsidRPr="00760837" w:rsidRDefault="00760837" w:rsidP="006B5A6D">
            <w:pPr>
              <w:jc w:val="center"/>
              <w:rPr>
                <w:rFonts w:eastAsia="Times New Roman" w:cstheme="minorHAnsi"/>
                <w:sz w:val="18"/>
                <w:szCs w:val="20"/>
                <w:lang w:eastAsia="en-GB"/>
              </w:rPr>
            </w:pPr>
            <w:r w:rsidRPr="00760837">
              <w:rPr>
                <w:rFonts w:eastAsia="Times New Roman" w:cstheme="minorHAnsi"/>
                <w:color w:val="FFFFFF" w:themeColor="light1"/>
                <w:kern w:val="24"/>
                <w:sz w:val="18"/>
                <w:szCs w:val="20"/>
                <w:lang w:eastAsia="en-GB"/>
              </w:rPr>
              <w:t>Step 4/5</w:t>
            </w:r>
          </w:p>
        </w:tc>
      </w:tr>
      <w:tr w:rsidR="00760837" w:rsidRPr="004D6FC4" w:rsidTr="005A1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  <w:jc w:val="center"/>
        </w:trPr>
        <w:tc>
          <w:tcPr>
            <w:tcW w:w="995" w:type="dxa"/>
            <w:vAlign w:val="center"/>
            <w:hideMark/>
          </w:tcPr>
          <w:p w:rsidR="00B07B21" w:rsidRPr="004D6FC4" w:rsidRDefault="00760837" w:rsidP="006B5A6D">
            <w:pPr>
              <w:pStyle w:val="NoSpacing"/>
              <w:jc w:val="center"/>
              <w:rPr>
                <w:b/>
                <w:sz w:val="18"/>
                <w:szCs w:val="20"/>
                <w:lang w:eastAsia="en-GB"/>
              </w:rPr>
            </w:pPr>
            <w:r w:rsidRPr="004D6FC4">
              <w:rPr>
                <w:b/>
                <w:sz w:val="18"/>
                <w:szCs w:val="20"/>
                <w:lang w:eastAsia="en-GB"/>
              </w:rPr>
              <w:t>Adults</w:t>
            </w:r>
          </w:p>
        </w:tc>
        <w:tc>
          <w:tcPr>
            <w:tcW w:w="1956" w:type="dxa"/>
            <w:vAlign w:val="center"/>
            <w:hideMark/>
          </w:tcPr>
          <w:p w:rsidR="00B07B21" w:rsidRPr="004D6FC4" w:rsidRDefault="00760837" w:rsidP="006B5A6D">
            <w:pPr>
              <w:pStyle w:val="NoSpacing"/>
              <w:jc w:val="center"/>
              <w:rPr>
                <w:sz w:val="18"/>
                <w:szCs w:val="20"/>
                <w:lang w:eastAsia="en-GB"/>
              </w:rPr>
            </w:pPr>
            <w:r w:rsidRPr="004D6FC4">
              <w:rPr>
                <w:sz w:val="18"/>
                <w:szCs w:val="20"/>
                <w:lang w:eastAsia="en-GB"/>
              </w:rPr>
              <w:t>8095</w:t>
            </w:r>
          </w:p>
        </w:tc>
        <w:tc>
          <w:tcPr>
            <w:tcW w:w="2827" w:type="dxa"/>
            <w:vAlign w:val="center"/>
            <w:hideMark/>
          </w:tcPr>
          <w:p w:rsidR="00B07B21" w:rsidRPr="004D6FC4" w:rsidRDefault="00760837" w:rsidP="006B5A6D">
            <w:pPr>
              <w:pStyle w:val="NoSpacing"/>
              <w:jc w:val="center"/>
              <w:rPr>
                <w:sz w:val="18"/>
                <w:szCs w:val="20"/>
                <w:lang w:eastAsia="en-GB"/>
              </w:rPr>
            </w:pPr>
            <w:r w:rsidRPr="004D6FC4">
              <w:rPr>
                <w:sz w:val="18"/>
                <w:szCs w:val="20"/>
                <w:lang w:eastAsia="en-GB"/>
              </w:rPr>
              <w:t>2720 (34%)</w:t>
            </w:r>
          </w:p>
        </w:tc>
        <w:tc>
          <w:tcPr>
            <w:tcW w:w="1666" w:type="dxa"/>
            <w:vAlign w:val="center"/>
          </w:tcPr>
          <w:p w:rsidR="00760837" w:rsidRPr="004D6FC4" w:rsidRDefault="00760837" w:rsidP="006B5A6D">
            <w:pPr>
              <w:pStyle w:val="NoSpacing"/>
              <w:jc w:val="center"/>
              <w:rPr>
                <w:sz w:val="18"/>
                <w:szCs w:val="20"/>
                <w:lang w:eastAsia="en-GB"/>
              </w:rPr>
            </w:pPr>
            <w:r w:rsidRPr="004D6FC4">
              <w:rPr>
                <w:sz w:val="18"/>
                <w:szCs w:val="20"/>
                <w:lang w:eastAsia="en-GB"/>
              </w:rPr>
              <w:t>739 (27%)</w:t>
            </w:r>
          </w:p>
        </w:tc>
        <w:tc>
          <w:tcPr>
            <w:tcW w:w="1666" w:type="dxa"/>
            <w:vAlign w:val="center"/>
          </w:tcPr>
          <w:p w:rsidR="00760837" w:rsidRPr="004D6FC4" w:rsidRDefault="00760837" w:rsidP="006B5A6D">
            <w:pPr>
              <w:pStyle w:val="NoSpacing"/>
              <w:jc w:val="center"/>
              <w:rPr>
                <w:sz w:val="18"/>
                <w:szCs w:val="20"/>
                <w:lang w:eastAsia="en-GB"/>
              </w:rPr>
            </w:pPr>
            <w:r w:rsidRPr="004D6FC4">
              <w:rPr>
                <w:sz w:val="18"/>
                <w:szCs w:val="20"/>
                <w:lang w:eastAsia="en-GB"/>
              </w:rPr>
              <w:t>1387 (51%)</w:t>
            </w:r>
          </w:p>
        </w:tc>
        <w:tc>
          <w:tcPr>
            <w:tcW w:w="1666" w:type="dxa"/>
            <w:vAlign w:val="center"/>
          </w:tcPr>
          <w:p w:rsidR="00760837" w:rsidRPr="004D6FC4" w:rsidRDefault="00760837" w:rsidP="006B5A6D">
            <w:pPr>
              <w:pStyle w:val="NoSpacing"/>
              <w:jc w:val="center"/>
              <w:rPr>
                <w:sz w:val="18"/>
                <w:szCs w:val="20"/>
                <w:lang w:eastAsia="en-GB"/>
              </w:rPr>
            </w:pPr>
            <w:r w:rsidRPr="004D6FC4">
              <w:rPr>
                <w:sz w:val="18"/>
                <w:szCs w:val="20"/>
                <w:lang w:eastAsia="en-GB"/>
              </w:rPr>
              <w:t>469 (17%)</w:t>
            </w:r>
          </w:p>
        </w:tc>
      </w:tr>
      <w:tr w:rsidR="00760837" w:rsidRPr="004D6FC4" w:rsidTr="005A11AC">
        <w:trPr>
          <w:trHeight w:val="18"/>
          <w:jc w:val="center"/>
        </w:trPr>
        <w:tc>
          <w:tcPr>
            <w:tcW w:w="995" w:type="dxa"/>
            <w:vAlign w:val="center"/>
            <w:hideMark/>
          </w:tcPr>
          <w:p w:rsidR="00B07B21" w:rsidRPr="004D6FC4" w:rsidRDefault="00760837" w:rsidP="006B5A6D">
            <w:pPr>
              <w:pStyle w:val="NoSpacing"/>
              <w:jc w:val="center"/>
              <w:rPr>
                <w:b/>
                <w:sz w:val="18"/>
                <w:szCs w:val="20"/>
                <w:lang w:eastAsia="en-GB"/>
              </w:rPr>
            </w:pPr>
            <w:r w:rsidRPr="004D6FC4">
              <w:rPr>
                <w:b/>
                <w:sz w:val="18"/>
                <w:szCs w:val="20"/>
                <w:lang w:eastAsia="en-GB"/>
              </w:rPr>
              <w:t>Children</w:t>
            </w:r>
          </w:p>
        </w:tc>
        <w:tc>
          <w:tcPr>
            <w:tcW w:w="1956" w:type="dxa"/>
            <w:vAlign w:val="center"/>
            <w:hideMark/>
          </w:tcPr>
          <w:p w:rsidR="00B07B21" w:rsidRPr="004D6FC4" w:rsidRDefault="00760837" w:rsidP="006B5A6D">
            <w:pPr>
              <w:pStyle w:val="NoSpacing"/>
              <w:jc w:val="center"/>
              <w:rPr>
                <w:sz w:val="18"/>
                <w:szCs w:val="20"/>
                <w:lang w:eastAsia="en-GB"/>
              </w:rPr>
            </w:pPr>
            <w:r w:rsidRPr="004D6FC4">
              <w:rPr>
                <w:sz w:val="18"/>
                <w:szCs w:val="20"/>
                <w:lang w:eastAsia="en-GB"/>
              </w:rPr>
              <w:t>1375</w:t>
            </w:r>
          </w:p>
        </w:tc>
        <w:tc>
          <w:tcPr>
            <w:tcW w:w="2827" w:type="dxa"/>
            <w:vAlign w:val="center"/>
            <w:hideMark/>
          </w:tcPr>
          <w:p w:rsidR="00B07B21" w:rsidRPr="004D6FC4" w:rsidRDefault="00760837" w:rsidP="006B5A6D">
            <w:pPr>
              <w:pStyle w:val="NoSpacing"/>
              <w:jc w:val="center"/>
              <w:rPr>
                <w:sz w:val="18"/>
                <w:szCs w:val="20"/>
                <w:lang w:eastAsia="en-GB"/>
              </w:rPr>
            </w:pPr>
            <w:r w:rsidRPr="004D6FC4">
              <w:rPr>
                <w:sz w:val="18"/>
                <w:szCs w:val="20"/>
                <w:lang w:eastAsia="en-GB"/>
              </w:rPr>
              <w:t>339 (25%)</w:t>
            </w:r>
          </w:p>
        </w:tc>
        <w:tc>
          <w:tcPr>
            <w:tcW w:w="1666" w:type="dxa"/>
            <w:vAlign w:val="center"/>
          </w:tcPr>
          <w:p w:rsidR="00760837" w:rsidRPr="004D6FC4" w:rsidRDefault="00760837" w:rsidP="006B5A6D">
            <w:pPr>
              <w:pStyle w:val="NoSpacing"/>
              <w:jc w:val="center"/>
              <w:rPr>
                <w:sz w:val="18"/>
                <w:szCs w:val="20"/>
                <w:lang w:eastAsia="en-GB"/>
              </w:rPr>
            </w:pPr>
            <w:r w:rsidRPr="004D6FC4">
              <w:rPr>
                <w:sz w:val="18"/>
                <w:szCs w:val="20"/>
                <w:lang w:eastAsia="en-GB"/>
              </w:rPr>
              <w:t>194 (57%)</w:t>
            </w:r>
          </w:p>
        </w:tc>
        <w:tc>
          <w:tcPr>
            <w:tcW w:w="1666" w:type="dxa"/>
            <w:vAlign w:val="center"/>
          </w:tcPr>
          <w:p w:rsidR="00760837" w:rsidRPr="004D6FC4" w:rsidRDefault="00760837" w:rsidP="006B5A6D">
            <w:pPr>
              <w:pStyle w:val="NoSpacing"/>
              <w:jc w:val="center"/>
              <w:rPr>
                <w:sz w:val="18"/>
                <w:szCs w:val="20"/>
                <w:lang w:eastAsia="en-GB"/>
              </w:rPr>
            </w:pPr>
            <w:r w:rsidRPr="004D6FC4">
              <w:rPr>
                <w:sz w:val="18"/>
                <w:szCs w:val="20"/>
                <w:lang w:eastAsia="en-GB"/>
              </w:rPr>
              <w:t>92 (27%)</w:t>
            </w:r>
          </w:p>
        </w:tc>
        <w:tc>
          <w:tcPr>
            <w:tcW w:w="1666" w:type="dxa"/>
            <w:vAlign w:val="center"/>
          </w:tcPr>
          <w:p w:rsidR="00760837" w:rsidRPr="004D6FC4" w:rsidRDefault="00760837" w:rsidP="006B5A6D">
            <w:pPr>
              <w:pStyle w:val="NoSpacing"/>
              <w:jc w:val="center"/>
              <w:rPr>
                <w:sz w:val="18"/>
                <w:szCs w:val="20"/>
                <w:lang w:eastAsia="en-GB"/>
              </w:rPr>
            </w:pPr>
            <w:r w:rsidRPr="004D6FC4">
              <w:rPr>
                <w:sz w:val="18"/>
                <w:szCs w:val="20"/>
                <w:lang w:eastAsia="en-GB"/>
              </w:rPr>
              <w:t>25 (7%)</w:t>
            </w:r>
          </w:p>
        </w:tc>
      </w:tr>
      <w:tr w:rsidR="00760837" w:rsidRPr="004D6FC4" w:rsidTr="005A1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  <w:jc w:val="center"/>
        </w:trPr>
        <w:tc>
          <w:tcPr>
            <w:tcW w:w="995" w:type="dxa"/>
            <w:vAlign w:val="center"/>
            <w:hideMark/>
          </w:tcPr>
          <w:p w:rsidR="00B07B21" w:rsidRPr="004D6FC4" w:rsidRDefault="00760837" w:rsidP="006B5A6D">
            <w:pPr>
              <w:pStyle w:val="NoSpacing"/>
              <w:jc w:val="center"/>
              <w:rPr>
                <w:b/>
                <w:sz w:val="18"/>
                <w:szCs w:val="20"/>
                <w:lang w:eastAsia="en-GB"/>
              </w:rPr>
            </w:pPr>
            <w:r w:rsidRPr="004D6FC4">
              <w:rPr>
                <w:b/>
                <w:sz w:val="18"/>
                <w:szCs w:val="20"/>
                <w:lang w:eastAsia="en-GB"/>
              </w:rPr>
              <w:t>Total</w:t>
            </w:r>
          </w:p>
        </w:tc>
        <w:tc>
          <w:tcPr>
            <w:tcW w:w="1956" w:type="dxa"/>
            <w:vAlign w:val="center"/>
            <w:hideMark/>
          </w:tcPr>
          <w:p w:rsidR="00B07B21" w:rsidRPr="004D6FC4" w:rsidRDefault="00760837" w:rsidP="006B5A6D">
            <w:pPr>
              <w:pStyle w:val="NoSpacing"/>
              <w:jc w:val="center"/>
              <w:rPr>
                <w:b/>
                <w:sz w:val="18"/>
                <w:szCs w:val="20"/>
                <w:lang w:eastAsia="en-GB"/>
              </w:rPr>
            </w:pPr>
            <w:r w:rsidRPr="004D6FC4">
              <w:rPr>
                <w:b/>
                <w:sz w:val="18"/>
                <w:szCs w:val="20"/>
                <w:lang w:eastAsia="en-GB"/>
              </w:rPr>
              <w:t>9470</w:t>
            </w:r>
          </w:p>
        </w:tc>
        <w:tc>
          <w:tcPr>
            <w:tcW w:w="2827" w:type="dxa"/>
            <w:vAlign w:val="center"/>
            <w:hideMark/>
          </w:tcPr>
          <w:p w:rsidR="00B07B21" w:rsidRPr="004D6FC4" w:rsidRDefault="00760837" w:rsidP="006B5A6D">
            <w:pPr>
              <w:pStyle w:val="NoSpacing"/>
              <w:jc w:val="center"/>
              <w:rPr>
                <w:b/>
                <w:sz w:val="18"/>
                <w:szCs w:val="20"/>
                <w:lang w:eastAsia="en-GB"/>
              </w:rPr>
            </w:pPr>
            <w:r w:rsidRPr="004D6FC4">
              <w:rPr>
                <w:b/>
                <w:color w:val="000000" w:themeColor="text1"/>
                <w:sz w:val="18"/>
                <w:szCs w:val="20"/>
                <w:lang w:eastAsia="en-GB"/>
              </w:rPr>
              <w:t>3059 (32%)</w:t>
            </w:r>
          </w:p>
        </w:tc>
        <w:tc>
          <w:tcPr>
            <w:tcW w:w="1666" w:type="dxa"/>
            <w:vAlign w:val="center"/>
          </w:tcPr>
          <w:p w:rsidR="00760837" w:rsidRPr="004D6FC4" w:rsidRDefault="00760837" w:rsidP="006B5A6D">
            <w:pPr>
              <w:pStyle w:val="NoSpacing"/>
              <w:jc w:val="center"/>
              <w:rPr>
                <w:b/>
                <w:sz w:val="18"/>
                <w:szCs w:val="20"/>
                <w:lang w:eastAsia="en-GB"/>
              </w:rPr>
            </w:pPr>
            <w:r w:rsidRPr="004D6FC4">
              <w:rPr>
                <w:b/>
                <w:sz w:val="18"/>
                <w:szCs w:val="20"/>
                <w:lang w:eastAsia="en-GB"/>
              </w:rPr>
              <w:t>933 (31%)</w:t>
            </w:r>
          </w:p>
        </w:tc>
        <w:tc>
          <w:tcPr>
            <w:tcW w:w="1666" w:type="dxa"/>
            <w:vAlign w:val="center"/>
          </w:tcPr>
          <w:p w:rsidR="00760837" w:rsidRPr="004D6FC4" w:rsidRDefault="00760837" w:rsidP="006B5A6D">
            <w:pPr>
              <w:pStyle w:val="NoSpacing"/>
              <w:jc w:val="center"/>
              <w:rPr>
                <w:b/>
                <w:sz w:val="18"/>
                <w:szCs w:val="20"/>
                <w:lang w:eastAsia="en-GB"/>
              </w:rPr>
            </w:pPr>
            <w:r w:rsidRPr="004D6FC4">
              <w:rPr>
                <w:b/>
                <w:sz w:val="18"/>
                <w:szCs w:val="20"/>
                <w:lang w:eastAsia="en-GB"/>
              </w:rPr>
              <w:t>1479 (48%)</w:t>
            </w:r>
          </w:p>
        </w:tc>
        <w:tc>
          <w:tcPr>
            <w:tcW w:w="1666" w:type="dxa"/>
            <w:vAlign w:val="center"/>
          </w:tcPr>
          <w:p w:rsidR="00760837" w:rsidRPr="004D6FC4" w:rsidRDefault="00760837" w:rsidP="006B5A6D">
            <w:pPr>
              <w:pStyle w:val="NoSpacing"/>
              <w:jc w:val="center"/>
              <w:rPr>
                <w:b/>
                <w:sz w:val="18"/>
                <w:szCs w:val="20"/>
                <w:lang w:eastAsia="en-GB"/>
              </w:rPr>
            </w:pPr>
            <w:r w:rsidRPr="004D6FC4">
              <w:rPr>
                <w:b/>
                <w:sz w:val="18"/>
                <w:szCs w:val="20"/>
                <w:lang w:eastAsia="en-GB"/>
              </w:rPr>
              <w:t>494 (16%)</w:t>
            </w:r>
          </w:p>
        </w:tc>
      </w:tr>
    </w:tbl>
    <w:p w:rsidR="00B07B21" w:rsidRPr="004D6FC4" w:rsidRDefault="00B07B21" w:rsidP="00633EDB">
      <w:pPr>
        <w:pStyle w:val="NoSpacing"/>
        <w:jc w:val="both"/>
      </w:pPr>
    </w:p>
    <w:p w:rsidR="00942B66" w:rsidRPr="00AB2CBC" w:rsidRDefault="00453411" w:rsidP="00633EDB">
      <w:pPr>
        <w:pStyle w:val="NoSpacing"/>
        <w:jc w:val="both"/>
      </w:pPr>
      <w:r w:rsidRPr="00AB2CBC">
        <w:t>As expected</w:t>
      </w:r>
      <w:r w:rsidR="00942B66" w:rsidRPr="00AB2CBC">
        <w:t>,</w:t>
      </w:r>
      <w:r w:rsidRPr="00AB2CBC">
        <w:t xml:space="preserve"> the results showed </w:t>
      </w:r>
      <w:r w:rsidR="00942B66" w:rsidRPr="00AB2CBC">
        <w:t xml:space="preserve">that: </w:t>
      </w:r>
    </w:p>
    <w:p w:rsidR="00942B66" w:rsidRPr="00AB2CBC" w:rsidRDefault="00942B66" w:rsidP="00942B66">
      <w:pPr>
        <w:pStyle w:val="NoSpacing"/>
        <w:numPr>
          <w:ilvl w:val="0"/>
          <w:numId w:val="6"/>
        </w:numPr>
        <w:jc w:val="both"/>
      </w:pPr>
      <w:r w:rsidRPr="00AB2CBC">
        <w:t>More</w:t>
      </w:r>
      <w:r w:rsidR="00453411" w:rsidRPr="00AB2CBC">
        <w:t xml:space="preserve"> adult patients than children were at step 4 or higher. </w:t>
      </w:r>
    </w:p>
    <w:p w:rsidR="00CB7CC5" w:rsidRPr="00AB2CBC" w:rsidRDefault="00453411" w:rsidP="00CB56B1">
      <w:pPr>
        <w:pStyle w:val="NoSpacing"/>
        <w:numPr>
          <w:ilvl w:val="0"/>
          <w:numId w:val="6"/>
        </w:numPr>
        <w:jc w:val="both"/>
      </w:pPr>
      <w:r w:rsidRPr="00AB2CBC">
        <w:t>Many children at step 4 or 5 were under specialist care.</w:t>
      </w:r>
      <w:r w:rsidR="00CB56B1" w:rsidRPr="00AB2CBC">
        <w:t xml:space="preserve"> It was n</w:t>
      </w:r>
      <w:r w:rsidR="00CB7CC5" w:rsidRPr="00AB2CBC">
        <w:t xml:space="preserve">oted that </w:t>
      </w:r>
      <w:r w:rsidR="00CB56B1" w:rsidRPr="00AB2CBC">
        <w:t xml:space="preserve">many </w:t>
      </w:r>
      <w:r w:rsidR="00CB7CC5" w:rsidRPr="00AB2CBC">
        <w:t>children under specialist care were NOT reviewed by their GPs</w:t>
      </w:r>
      <w:r w:rsidR="00CB56B1" w:rsidRPr="00AB2CBC">
        <w:t>.</w:t>
      </w:r>
    </w:p>
    <w:p w:rsidR="00453411" w:rsidRDefault="00453411" w:rsidP="00633EDB">
      <w:pPr>
        <w:pStyle w:val="NoSpacing"/>
        <w:jc w:val="both"/>
      </w:pPr>
    </w:p>
    <w:p w:rsidR="00E91091" w:rsidRPr="00E91091" w:rsidRDefault="00E91091" w:rsidP="00633EDB">
      <w:pPr>
        <w:pStyle w:val="NoSpacing"/>
        <w:jc w:val="both"/>
        <w:rPr>
          <w:b/>
          <w:sz w:val="20"/>
        </w:rPr>
      </w:pPr>
      <w:r w:rsidRPr="00E91091">
        <w:rPr>
          <w:b/>
          <w:sz w:val="20"/>
        </w:rPr>
        <w:t>Table 2:</w:t>
      </w:r>
      <w:r w:rsidR="00FE5EEE">
        <w:rPr>
          <w:b/>
          <w:sz w:val="20"/>
        </w:rPr>
        <w:t xml:space="preserve"> Asthma annual reviews, PAAPs and use of spacer devices</w:t>
      </w:r>
    </w:p>
    <w:tbl>
      <w:tblPr>
        <w:tblStyle w:val="MediumGrid3-Accent1"/>
        <w:tblW w:w="10776" w:type="dxa"/>
        <w:jc w:val="center"/>
        <w:tblLook w:val="0420" w:firstRow="1" w:lastRow="0" w:firstColumn="0" w:lastColumn="0" w:noHBand="0" w:noVBand="1"/>
      </w:tblPr>
      <w:tblGrid>
        <w:gridCol w:w="986"/>
        <w:gridCol w:w="2447"/>
        <w:gridCol w:w="2448"/>
        <w:gridCol w:w="2447"/>
        <w:gridCol w:w="2448"/>
      </w:tblGrid>
      <w:tr w:rsidR="00453411" w:rsidRPr="004D6FC4" w:rsidTr="005A11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  <w:jc w:val="center"/>
        </w:trPr>
        <w:tc>
          <w:tcPr>
            <w:tcW w:w="0" w:type="auto"/>
            <w:hideMark/>
          </w:tcPr>
          <w:p w:rsidR="00453411" w:rsidRPr="00760837" w:rsidRDefault="00453411" w:rsidP="00633EDB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  <w:tc>
          <w:tcPr>
            <w:tcW w:w="2447" w:type="dxa"/>
          </w:tcPr>
          <w:p w:rsidR="00B07B21" w:rsidRPr="00B07B21" w:rsidRDefault="00453411" w:rsidP="00633EDB">
            <w:pPr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B07B21">
              <w:rPr>
                <w:rFonts w:ascii="Calibri" w:eastAsia="Times New Roman" w:hAnsi="Calibri" w:cs="Calibri"/>
                <w:color w:val="FFFFFF" w:themeColor="light1"/>
                <w:kern w:val="24"/>
                <w:sz w:val="18"/>
                <w:szCs w:val="36"/>
                <w:lang w:eastAsia="en-GB"/>
              </w:rPr>
              <w:t>No. of patients who had asthma review in last 12m</w:t>
            </w:r>
          </w:p>
        </w:tc>
        <w:tc>
          <w:tcPr>
            <w:tcW w:w="2448" w:type="dxa"/>
            <w:hideMark/>
          </w:tcPr>
          <w:p w:rsidR="00453411" w:rsidRPr="00760837" w:rsidRDefault="00453411" w:rsidP="00633EDB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760837">
              <w:rPr>
                <w:rFonts w:ascii="Calibri" w:eastAsia="Times New Roman" w:hAnsi="Calibri" w:cs="Calibri"/>
                <w:color w:val="FFFFFF" w:themeColor="light1"/>
                <w:kern w:val="24"/>
                <w:sz w:val="18"/>
                <w:szCs w:val="20"/>
                <w:lang w:eastAsia="en-GB"/>
              </w:rPr>
              <w:t>No. (%)</w:t>
            </w:r>
          </w:p>
          <w:p w:rsidR="00760837" w:rsidRPr="00760837" w:rsidRDefault="00453411" w:rsidP="00633EDB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4D6FC4">
              <w:rPr>
                <w:rFonts w:ascii="Calibri" w:eastAsia="Times New Roman" w:hAnsi="Calibri" w:cs="Calibri"/>
                <w:b w:val="0"/>
                <w:bCs w:val="0"/>
                <w:color w:val="FFFFFF" w:themeColor="light1"/>
                <w:kern w:val="24"/>
                <w:sz w:val="18"/>
                <w:szCs w:val="20"/>
                <w:lang w:eastAsia="en-GB"/>
              </w:rPr>
              <w:t>P</w:t>
            </w:r>
            <w:r w:rsidRPr="00760837">
              <w:rPr>
                <w:rFonts w:ascii="Calibri" w:eastAsia="Times New Roman" w:hAnsi="Calibri" w:cs="Calibri"/>
                <w:color w:val="FFFFFF" w:themeColor="light1"/>
                <w:kern w:val="24"/>
                <w:sz w:val="18"/>
                <w:szCs w:val="20"/>
                <w:lang w:eastAsia="en-GB"/>
              </w:rPr>
              <w:t>atients</w:t>
            </w:r>
            <w:r w:rsidRPr="004D6FC4">
              <w:rPr>
                <w:rFonts w:ascii="Calibri" w:eastAsia="Times New Roman" w:hAnsi="Calibri" w:cs="Calibri"/>
                <w:b w:val="0"/>
                <w:bCs w:val="0"/>
                <w:color w:val="FFFFFF" w:themeColor="light1"/>
                <w:kern w:val="24"/>
                <w:sz w:val="18"/>
                <w:szCs w:val="20"/>
                <w:lang w:eastAsia="en-GB"/>
              </w:rPr>
              <w:t xml:space="preserve"> </w:t>
            </w:r>
            <w:r w:rsidRPr="00760837">
              <w:rPr>
                <w:rFonts w:ascii="Calibri" w:eastAsia="Times New Roman" w:hAnsi="Calibri" w:cs="Calibri"/>
                <w:color w:val="FFFFFF" w:themeColor="light1"/>
                <w:kern w:val="24"/>
                <w:sz w:val="18"/>
                <w:szCs w:val="20"/>
                <w:lang w:eastAsia="en-GB"/>
              </w:rPr>
              <w:t>with a PAAP</w:t>
            </w:r>
          </w:p>
        </w:tc>
        <w:tc>
          <w:tcPr>
            <w:tcW w:w="2447" w:type="dxa"/>
            <w:hideMark/>
          </w:tcPr>
          <w:p w:rsidR="00760837" w:rsidRPr="00760837" w:rsidRDefault="00453411" w:rsidP="00633EDB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760837">
              <w:rPr>
                <w:rFonts w:ascii="Calibri" w:eastAsia="Times New Roman" w:hAnsi="Calibri" w:cs="Calibri"/>
                <w:color w:val="FFFFFF" w:themeColor="light1"/>
                <w:kern w:val="24"/>
                <w:sz w:val="18"/>
                <w:szCs w:val="20"/>
                <w:lang w:eastAsia="en-GB"/>
              </w:rPr>
              <w:t>No. (%)</w:t>
            </w:r>
            <w:r w:rsidRPr="004D6FC4">
              <w:rPr>
                <w:rFonts w:ascii="Calibri" w:eastAsia="Times New Roman" w:hAnsi="Calibri" w:cs="Calibri"/>
                <w:b w:val="0"/>
                <w:bCs w:val="0"/>
                <w:color w:val="FFFFFF" w:themeColor="light1"/>
                <w:kern w:val="24"/>
                <w:sz w:val="18"/>
                <w:szCs w:val="20"/>
                <w:lang w:eastAsia="en-GB"/>
              </w:rPr>
              <w:t xml:space="preserve"> </w:t>
            </w:r>
            <w:r w:rsidRPr="00760837">
              <w:rPr>
                <w:rFonts w:ascii="Calibri" w:eastAsia="Times New Roman" w:hAnsi="Calibri" w:cs="Calibri"/>
                <w:color w:val="FFFFFF" w:themeColor="light1"/>
                <w:kern w:val="24"/>
                <w:sz w:val="18"/>
                <w:szCs w:val="20"/>
                <w:lang w:eastAsia="en-GB"/>
              </w:rPr>
              <w:t>not  known</w:t>
            </w:r>
            <w:r w:rsidRPr="004D6FC4">
              <w:rPr>
                <w:rFonts w:ascii="Calibri" w:eastAsia="Times New Roman" w:hAnsi="Calibri" w:cs="Calibri"/>
                <w:b w:val="0"/>
                <w:bCs w:val="0"/>
                <w:color w:val="FFFFFF" w:themeColor="light1"/>
                <w:kern w:val="24"/>
                <w:sz w:val="18"/>
                <w:szCs w:val="20"/>
                <w:lang w:eastAsia="en-GB"/>
              </w:rPr>
              <w:t xml:space="preserve"> </w:t>
            </w:r>
            <w:r w:rsidRPr="00760837">
              <w:rPr>
                <w:rFonts w:ascii="Calibri" w:eastAsia="Times New Roman" w:hAnsi="Calibri" w:cs="Calibri"/>
                <w:color w:val="FFFFFF" w:themeColor="light1"/>
                <w:kern w:val="24"/>
                <w:sz w:val="18"/>
                <w:szCs w:val="20"/>
                <w:lang w:eastAsia="en-GB"/>
              </w:rPr>
              <w:t>if patient has PAAP</w:t>
            </w:r>
          </w:p>
        </w:tc>
        <w:tc>
          <w:tcPr>
            <w:tcW w:w="2448" w:type="dxa"/>
            <w:hideMark/>
          </w:tcPr>
          <w:p w:rsidR="00760837" w:rsidRPr="00760837" w:rsidRDefault="00453411" w:rsidP="00633EDB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760837">
              <w:rPr>
                <w:rFonts w:ascii="Calibri" w:eastAsia="Times New Roman" w:hAnsi="Calibri" w:cs="Calibri"/>
                <w:color w:val="FFFFFF" w:themeColor="light1"/>
                <w:kern w:val="24"/>
                <w:sz w:val="18"/>
                <w:szCs w:val="20"/>
                <w:lang w:eastAsia="en-GB"/>
              </w:rPr>
              <w:t>No. (%)</w:t>
            </w:r>
            <w:r w:rsidRPr="004D6FC4">
              <w:rPr>
                <w:rFonts w:ascii="Calibri" w:eastAsia="Times New Roman" w:hAnsi="Calibri" w:cs="Calibri"/>
                <w:b w:val="0"/>
                <w:bCs w:val="0"/>
                <w:color w:val="FFFFFF" w:themeColor="light1"/>
                <w:kern w:val="24"/>
                <w:sz w:val="18"/>
                <w:szCs w:val="20"/>
                <w:lang w:eastAsia="en-GB"/>
              </w:rPr>
              <w:t xml:space="preserve"> </w:t>
            </w:r>
            <w:r w:rsidRPr="00760837">
              <w:rPr>
                <w:rFonts w:ascii="Calibri" w:eastAsia="Times New Roman" w:hAnsi="Calibri" w:cs="Calibri"/>
                <w:color w:val="FFFFFF" w:themeColor="light1"/>
                <w:kern w:val="24"/>
                <w:sz w:val="18"/>
                <w:szCs w:val="20"/>
                <w:lang w:eastAsia="en-GB"/>
              </w:rPr>
              <w:t>patients with spacer device</w:t>
            </w:r>
          </w:p>
        </w:tc>
      </w:tr>
      <w:tr w:rsidR="00453411" w:rsidRPr="004D6FC4" w:rsidTr="005A1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  <w:jc w:val="center"/>
        </w:trPr>
        <w:tc>
          <w:tcPr>
            <w:tcW w:w="0" w:type="auto"/>
            <w:hideMark/>
          </w:tcPr>
          <w:p w:rsidR="00760837" w:rsidRPr="00760837" w:rsidRDefault="00453411" w:rsidP="00633EDB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760837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20"/>
                <w:lang w:eastAsia="en-GB"/>
              </w:rPr>
              <w:t>Adults</w:t>
            </w:r>
          </w:p>
        </w:tc>
        <w:tc>
          <w:tcPr>
            <w:tcW w:w="2447" w:type="dxa"/>
          </w:tcPr>
          <w:p w:rsidR="00B07B21" w:rsidRPr="00B07B21" w:rsidRDefault="00453411" w:rsidP="00633EDB">
            <w:pPr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B07B21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36"/>
                <w:lang w:eastAsia="en-GB"/>
              </w:rPr>
              <w:t>1383 (51%)</w:t>
            </w:r>
          </w:p>
        </w:tc>
        <w:tc>
          <w:tcPr>
            <w:tcW w:w="2448" w:type="dxa"/>
            <w:hideMark/>
          </w:tcPr>
          <w:p w:rsidR="00760837" w:rsidRPr="00760837" w:rsidRDefault="00453411" w:rsidP="00633EDB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76083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>1827 (67%)</w:t>
            </w:r>
          </w:p>
        </w:tc>
        <w:tc>
          <w:tcPr>
            <w:tcW w:w="2447" w:type="dxa"/>
            <w:hideMark/>
          </w:tcPr>
          <w:p w:rsidR="00760837" w:rsidRPr="00760837" w:rsidRDefault="00453411" w:rsidP="00633EDB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76083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>311 (11%)</w:t>
            </w:r>
          </w:p>
        </w:tc>
        <w:tc>
          <w:tcPr>
            <w:tcW w:w="2448" w:type="dxa"/>
            <w:hideMark/>
          </w:tcPr>
          <w:p w:rsidR="00760837" w:rsidRPr="00760837" w:rsidRDefault="00453411" w:rsidP="00633EDB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76083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>964 (35%)</w:t>
            </w:r>
          </w:p>
        </w:tc>
      </w:tr>
      <w:tr w:rsidR="00453411" w:rsidRPr="004D6FC4" w:rsidTr="004E7131">
        <w:trPr>
          <w:trHeight w:val="145"/>
          <w:jc w:val="center"/>
        </w:trPr>
        <w:tc>
          <w:tcPr>
            <w:tcW w:w="0" w:type="auto"/>
            <w:hideMark/>
          </w:tcPr>
          <w:p w:rsidR="00760837" w:rsidRPr="00760837" w:rsidRDefault="00453411" w:rsidP="00633EDB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760837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20"/>
                <w:lang w:eastAsia="en-GB"/>
              </w:rPr>
              <w:t>Children</w:t>
            </w:r>
          </w:p>
        </w:tc>
        <w:tc>
          <w:tcPr>
            <w:tcW w:w="2447" w:type="dxa"/>
          </w:tcPr>
          <w:p w:rsidR="00B07B21" w:rsidRPr="00B07B21" w:rsidRDefault="00453411" w:rsidP="00633EDB">
            <w:pPr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B07B21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36"/>
                <w:lang w:eastAsia="en-GB"/>
              </w:rPr>
              <w:t>191 (56%)</w:t>
            </w:r>
          </w:p>
        </w:tc>
        <w:tc>
          <w:tcPr>
            <w:tcW w:w="2448" w:type="dxa"/>
            <w:hideMark/>
          </w:tcPr>
          <w:p w:rsidR="00453411" w:rsidRPr="00760837" w:rsidRDefault="00453411" w:rsidP="00633EDB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76083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>227 (67%)</w:t>
            </w:r>
          </w:p>
        </w:tc>
        <w:tc>
          <w:tcPr>
            <w:tcW w:w="2447" w:type="dxa"/>
          </w:tcPr>
          <w:p w:rsidR="00453411" w:rsidRPr="00760837" w:rsidRDefault="00453411" w:rsidP="00633EDB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76083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>46 (14%)</w:t>
            </w:r>
          </w:p>
        </w:tc>
        <w:tc>
          <w:tcPr>
            <w:tcW w:w="2448" w:type="dxa"/>
          </w:tcPr>
          <w:p w:rsidR="00760837" w:rsidRPr="00760837" w:rsidRDefault="00453411" w:rsidP="00633EDB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760837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>262 (77%)</w:t>
            </w:r>
          </w:p>
        </w:tc>
      </w:tr>
    </w:tbl>
    <w:p w:rsidR="00453411" w:rsidRPr="004D6FC4" w:rsidRDefault="00453411" w:rsidP="00633EDB">
      <w:pPr>
        <w:pStyle w:val="NoSpacing"/>
        <w:jc w:val="both"/>
      </w:pPr>
    </w:p>
    <w:p w:rsidR="00942B66" w:rsidRPr="00AB2CBC" w:rsidRDefault="00B07B21" w:rsidP="00633EDB">
      <w:pPr>
        <w:pStyle w:val="NoSpacing"/>
        <w:jc w:val="both"/>
      </w:pPr>
      <w:r w:rsidRPr="004D6FC4">
        <w:t xml:space="preserve">NRAD </w:t>
      </w:r>
      <w:r w:rsidRPr="00AB2CBC">
        <w:t xml:space="preserve">recommendations are that all asthmatic patients </w:t>
      </w:r>
      <w:r w:rsidR="007E0DC6" w:rsidRPr="00AB2CBC">
        <w:t>should</w:t>
      </w:r>
      <w:r w:rsidR="008762C5" w:rsidRPr="00AB2CBC">
        <w:t xml:space="preserve"> </w:t>
      </w:r>
      <w:r w:rsidR="007E0DC6" w:rsidRPr="00AB2CBC">
        <w:t>have a</w:t>
      </w:r>
      <w:r w:rsidR="008762C5" w:rsidRPr="00AB2CBC">
        <w:t>n annual review, a</w:t>
      </w:r>
      <w:r w:rsidR="007E0DC6" w:rsidRPr="00AB2CBC">
        <w:t xml:space="preserve"> Personalised Asth</w:t>
      </w:r>
      <w:r w:rsidRPr="00AB2CBC">
        <w:t>m</w:t>
      </w:r>
      <w:r w:rsidR="007E0DC6" w:rsidRPr="00AB2CBC">
        <w:t>a</w:t>
      </w:r>
      <w:r w:rsidRPr="00AB2CBC">
        <w:t xml:space="preserve"> Action Plan</w:t>
      </w:r>
      <w:r w:rsidR="00453411" w:rsidRPr="00AB2CBC">
        <w:t xml:space="preserve"> (PAAP)</w:t>
      </w:r>
      <w:r w:rsidRPr="00AB2CBC">
        <w:t xml:space="preserve"> and know what </w:t>
      </w:r>
      <w:r w:rsidR="00231A7D" w:rsidRPr="00AB2CBC">
        <w:t xml:space="preserve">to </w:t>
      </w:r>
      <w:r w:rsidRPr="00AB2CBC">
        <w:t xml:space="preserve">do in an emergency or should their asthma </w:t>
      </w:r>
      <w:r w:rsidR="007E0DC6" w:rsidRPr="00AB2CBC">
        <w:t>deteriorate</w:t>
      </w:r>
      <w:r w:rsidR="00453411" w:rsidRPr="00AB2CBC">
        <w:t xml:space="preserve">. </w:t>
      </w:r>
      <w:r w:rsidR="00942B66" w:rsidRPr="00AB2CBC">
        <w:t>Our results showed that</w:t>
      </w:r>
    </w:p>
    <w:p w:rsidR="00942B66" w:rsidRPr="00AB2CBC" w:rsidRDefault="00453411" w:rsidP="00CB7CC5">
      <w:pPr>
        <w:pStyle w:val="NoSpacing"/>
        <w:numPr>
          <w:ilvl w:val="0"/>
          <w:numId w:val="7"/>
        </w:numPr>
        <w:jc w:val="both"/>
      </w:pPr>
      <w:r w:rsidRPr="00AB2CBC">
        <w:t>33% of patients audited either did not have a PAAP or it was not known whether they have a PAAP</w:t>
      </w:r>
      <w:r w:rsidR="00633EDB" w:rsidRPr="00AB2CBC">
        <w:t xml:space="preserve">. </w:t>
      </w:r>
      <w:r w:rsidRPr="00AB2CBC">
        <w:t xml:space="preserve"> </w:t>
      </w:r>
    </w:p>
    <w:p w:rsidR="00942B66" w:rsidRPr="00AB2CBC" w:rsidRDefault="00942B66" w:rsidP="00942B66">
      <w:pPr>
        <w:pStyle w:val="NoSpacing"/>
        <w:numPr>
          <w:ilvl w:val="0"/>
          <w:numId w:val="7"/>
        </w:numPr>
        <w:jc w:val="both"/>
      </w:pPr>
      <w:r w:rsidRPr="00AB2CBC">
        <w:t>o</w:t>
      </w:r>
      <w:r w:rsidR="00D93DB3" w:rsidRPr="00AB2CBC">
        <w:t>n many occasions</w:t>
      </w:r>
      <w:r w:rsidRPr="00AB2CBC">
        <w:t xml:space="preserve"> it was documented that patient</w:t>
      </w:r>
      <w:r w:rsidR="00D93DB3" w:rsidRPr="00AB2CBC">
        <w:t>s</w:t>
      </w:r>
      <w:r w:rsidRPr="00AB2CBC">
        <w:t>’</w:t>
      </w:r>
      <w:r w:rsidR="00D93DB3" w:rsidRPr="00AB2CBC">
        <w:t xml:space="preserve"> had been invited for review but had not attended</w:t>
      </w:r>
      <w:r w:rsidRPr="00AB2CBC">
        <w:t>.</w:t>
      </w:r>
      <w:r w:rsidR="00D93DB3" w:rsidRPr="00AB2CBC">
        <w:t xml:space="preserve"> </w:t>
      </w:r>
    </w:p>
    <w:p w:rsidR="00D4018D" w:rsidRPr="00AB2CBC" w:rsidRDefault="00ED4A10" w:rsidP="00ED4A10">
      <w:pPr>
        <w:pStyle w:val="NoSpacing"/>
        <w:ind w:left="720"/>
        <w:jc w:val="both"/>
        <w:rPr>
          <w:i/>
        </w:rPr>
      </w:pPr>
      <w:r w:rsidRPr="00AB2CBC">
        <w:rPr>
          <w:i/>
        </w:rPr>
        <w:t>Failure to attend for review</w:t>
      </w:r>
      <w:r w:rsidR="00D93DB3" w:rsidRPr="00AB2CBC">
        <w:rPr>
          <w:i/>
        </w:rPr>
        <w:t xml:space="preserve"> presents a particularly challenging area for improvement.</w:t>
      </w:r>
      <w:r w:rsidR="00942B66" w:rsidRPr="00AB2CBC">
        <w:rPr>
          <w:i/>
        </w:rPr>
        <w:t xml:space="preserve"> </w:t>
      </w:r>
    </w:p>
    <w:p w:rsidR="008762C5" w:rsidRPr="00AB2CBC" w:rsidRDefault="008762C5" w:rsidP="008762C5">
      <w:pPr>
        <w:pStyle w:val="NoSpacing"/>
        <w:jc w:val="both"/>
      </w:pPr>
      <w:r w:rsidRPr="00AB2CBC">
        <w:lastRenderedPageBreak/>
        <w:t>Other results of interest:</w:t>
      </w:r>
    </w:p>
    <w:p w:rsidR="008762C5" w:rsidRPr="00AB2CBC" w:rsidRDefault="008762C5" w:rsidP="008762C5">
      <w:pPr>
        <w:pStyle w:val="NoSpacing"/>
        <w:numPr>
          <w:ilvl w:val="0"/>
          <w:numId w:val="8"/>
        </w:numPr>
        <w:jc w:val="both"/>
      </w:pPr>
      <w:r w:rsidRPr="00AB2CBC">
        <w:t xml:space="preserve">the most common problem documented was the </w:t>
      </w:r>
      <w:r w:rsidRPr="00AB2CBC">
        <w:rPr>
          <w:i/>
        </w:rPr>
        <w:t>‘over or under use of ICS’</w:t>
      </w:r>
    </w:p>
    <w:p w:rsidR="008762C5" w:rsidRPr="00AB2CBC" w:rsidRDefault="008762C5" w:rsidP="008762C5">
      <w:pPr>
        <w:pStyle w:val="NoSpacing"/>
        <w:numPr>
          <w:ilvl w:val="0"/>
          <w:numId w:val="8"/>
        </w:numPr>
        <w:jc w:val="both"/>
      </w:pPr>
      <w:r w:rsidRPr="00AB2CBC">
        <w:t xml:space="preserve">Of concern was the fact, that in 14% of children and 22% of adults audited, it was not known if there was a problem. </w:t>
      </w:r>
      <w:r w:rsidRPr="00AB2CBC">
        <w:rPr>
          <w:i/>
        </w:rPr>
        <w:t>This suggests a lack of review.</w:t>
      </w:r>
    </w:p>
    <w:p w:rsidR="008762C5" w:rsidRPr="00AB2CBC" w:rsidRDefault="008762C5" w:rsidP="008762C5">
      <w:pPr>
        <w:pStyle w:val="NoSpacing"/>
        <w:numPr>
          <w:ilvl w:val="0"/>
          <w:numId w:val="8"/>
        </w:numPr>
        <w:jc w:val="both"/>
      </w:pPr>
      <w:r w:rsidRPr="00AB2CBC">
        <w:t>As a result of the audit 19% (576) of patients had their ICS dose stepped down but the majority of patients remained on their current dose</w:t>
      </w:r>
    </w:p>
    <w:p w:rsidR="009D51BA" w:rsidRPr="008762C5" w:rsidRDefault="008762C5" w:rsidP="008762C5">
      <w:pPr>
        <w:pStyle w:val="NoSpacing"/>
        <w:jc w:val="both"/>
        <w:rPr>
          <w:i/>
        </w:rPr>
      </w:pPr>
      <w:r w:rsidRPr="00AB2CBC">
        <w:rPr>
          <w:i/>
        </w:rPr>
        <w:t>See Appendix 1 for the</w:t>
      </w:r>
      <w:r w:rsidR="00D44273" w:rsidRPr="00AB2CBC">
        <w:rPr>
          <w:i/>
        </w:rPr>
        <w:t xml:space="preserve"> full list of the Problems </w:t>
      </w:r>
      <w:r w:rsidR="00D44273" w:rsidRPr="008762C5">
        <w:rPr>
          <w:i/>
        </w:rPr>
        <w:t>i</w:t>
      </w:r>
      <w:r w:rsidRPr="008762C5">
        <w:rPr>
          <w:i/>
        </w:rPr>
        <w:t>dentified and the actions taken.</w:t>
      </w:r>
    </w:p>
    <w:p w:rsidR="009D51BA" w:rsidRPr="004D6FC4" w:rsidRDefault="009D51BA" w:rsidP="00633EDB">
      <w:pPr>
        <w:pStyle w:val="NoSpacing"/>
        <w:jc w:val="both"/>
      </w:pPr>
    </w:p>
    <w:p w:rsidR="00E91091" w:rsidRPr="00E91091" w:rsidRDefault="00E91091" w:rsidP="004D6FC4">
      <w:pPr>
        <w:pStyle w:val="NoSpacing"/>
        <w:jc w:val="both"/>
        <w:rPr>
          <w:b/>
          <w:sz w:val="20"/>
        </w:rPr>
      </w:pPr>
      <w:r w:rsidRPr="00E91091">
        <w:rPr>
          <w:b/>
          <w:sz w:val="20"/>
        </w:rPr>
        <w:t>Table 3:</w:t>
      </w:r>
      <w:r w:rsidR="00FE5EEE">
        <w:rPr>
          <w:b/>
          <w:sz w:val="20"/>
        </w:rPr>
        <w:t xml:space="preserve"> Asthma control and attempted step down</w:t>
      </w:r>
    </w:p>
    <w:tbl>
      <w:tblPr>
        <w:tblStyle w:val="MediumGrid3-Accent1"/>
        <w:tblW w:w="10740" w:type="dxa"/>
        <w:jc w:val="center"/>
        <w:tblLook w:val="0420" w:firstRow="1" w:lastRow="0" w:firstColumn="0" w:lastColumn="0" w:noHBand="0" w:noVBand="1"/>
      </w:tblPr>
      <w:tblGrid>
        <w:gridCol w:w="986"/>
        <w:gridCol w:w="3251"/>
        <w:gridCol w:w="3251"/>
        <w:gridCol w:w="3252"/>
      </w:tblGrid>
      <w:tr w:rsidR="00E91091" w:rsidRPr="004D6FC4" w:rsidTr="005A11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  <w:jc w:val="center"/>
        </w:trPr>
        <w:tc>
          <w:tcPr>
            <w:tcW w:w="0" w:type="auto"/>
            <w:vAlign w:val="center"/>
            <w:hideMark/>
          </w:tcPr>
          <w:p w:rsidR="00E91091" w:rsidRPr="00760837" w:rsidRDefault="00E91091" w:rsidP="00E91091">
            <w:pPr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  <w:tc>
          <w:tcPr>
            <w:tcW w:w="3251" w:type="dxa"/>
            <w:vAlign w:val="center"/>
          </w:tcPr>
          <w:p w:rsidR="00B07B21" w:rsidRPr="00B07B21" w:rsidRDefault="00E91091" w:rsidP="00E91091">
            <w:pPr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E91091">
              <w:rPr>
                <w:rFonts w:eastAsia="Times New Roman" w:cstheme="minorHAnsi"/>
                <w:sz w:val="18"/>
                <w:szCs w:val="18"/>
                <w:lang w:eastAsia="en-GB"/>
              </w:rPr>
              <w:t>Asthma under control</w:t>
            </w:r>
          </w:p>
        </w:tc>
        <w:tc>
          <w:tcPr>
            <w:tcW w:w="3251" w:type="dxa"/>
            <w:vAlign w:val="center"/>
          </w:tcPr>
          <w:p w:rsidR="00760837" w:rsidRPr="00760837" w:rsidRDefault="00E91091" w:rsidP="00E91091">
            <w:pPr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E91091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Step down of 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</w:t>
            </w:r>
            <w:r w:rsidRPr="00E91091">
              <w:rPr>
                <w:rFonts w:eastAsia="Times New Roman" w:cstheme="minorHAnsi"/>
                <w:sz w:val="18"/>
                <w:szCs w:val="18"/>
                <w:lang w:eastAsia="en-GB"/>
              </w:rPr>
              <w:t>sthma therapy attempted in last 3 months</w:t>
            </w:r>
          </w:p>
        </w:tc>
        <w:tc>
          <w:tcPr>
            <w:tcW w:w="3252" w:type="dxa"/>
            <w:vAlign w:val="center"/>
          </w:tcPr>
          <w:p w:rsidR="00760837" w:rsidRPr="00760837" w:rsidRDefault="00E91091" w:rsidP="00E91091">
            <w:pPr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E91091">
              <w:rPr>
                <w:rFonts w:eastAsia="Times New Roman" w:cstheme="minorHAnsi"/>
                <w:sz w:val="18"/>
                <w:szCs w:val="18"/>
                <w:lang w:eastAsia="en-GB"/>
              </w:rPr>
              <w:t>Not suitable for step down</w:t>
            </w:r>
          </w:p>
        </w:tc>
      </w:tr>
      <w:tr w:rsidR="00E91091" w:rsidRPr="004D6FC4" w:rsidTr="005A1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tcW w:w="0" w:type="auto"/>
            <w:vAlign w:val="center"/>
            <w:hideMark/>
          </w:tcPr>
          <w:p w:rsidR="00760837" w:rsidRPr="00760837" w:rsidRDefault="00E91091" w:rsidP="00E9109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760837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20"/>
                <w:lang w:eastAsia="en-GB"/>
              </w:rPr>
              <w:t>Adults</w:t>
            </w:r>
          </w:p>
        </w:tc>
        <w:tc>
          <w:tcPr>
            <w:tcW w:w="3251" w:type="dxa"/>
            <w:vAlign w:val="center"/>
          </w:tcPr>
          <w:p w:rsidR="00B07B21" w:rsidRPr="00B07B21" w:rsidRDefault="00E91091" w:rsidP="00E91091">
            <w:pPr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1305 (48%)</w:t>
            </w:r>
          </w:p>
        </w:tc>
        <w:tc>
          <w:tcPr>
            <w:tcW w:w="3251" w:type="dxa"/>
            <w:vAlign w:val="center"/>
          </w:tcPr>
          <w:p w:rsidR="00760837" w:rsidRPr="00760837" w:rsidRDefault="00E91091" w:rsidP="00E91091">
            <w:pPr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350 (13%)</w:t>
            </w:r>
          </w:p>
        </w:tc>
        <w:tc>
          <w:tcPr>
            <w:tcW w:w="3252" w:type="dxa"/>
            <w:vAlign w:val="center"/>
          </w:tcPr>
          <w:p w:rsidR="00760837" w:rsidRPr="00760837" w:rsidRDefault="00E91091" w:rsidP="00E91091">
            <w:pPr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1330 (49%)</w:t>
            </w:r>
          </w:p>
        </w:tc>
      </w:tr>
      <w:tr w:rsidR="00E91091" w:rsidRPr="004D6FC4" w:rsidTr="005A11AC">
        <w:trPr>
          <w:trHeight w:val="220"/>
          <w:jc w:val="center"/>
        </w:trPr>
        <w:tc>
          <w:tcPr>
            <w:tcW w:w="0" w:type="auto"/>
            <w:vAlign w:val="center"/>
            <w:hideMark/>
          </w:tcPr>
          <w:p w:rsidR="00760837" w:rsidRPr="00760837" w:rsidRDefault="00E91091" w:rsidP="00E91091">
            <w:pPr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760837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20"/>
                <w:lang w:eastAsia="en-GB"/>
              </w:rPr>
              <w:t>Children</w:t>
            </w:r>
          </w:p>
        </w:tc>
        <w:tc>
          <w:tcPr>
            <w:tcW w:w="3251" w:type="dxa"/>
            <w:vAlign w:val="center"/>
          </w:tcPr>
          <w:p w:rsidR="00B07B21" w:rsidRPr="00B07B21" w:rsidRDefault="00E91091" w:rsidP="00E91091">
            <w:pPr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166 (49%</w:t>
            </w:r>
            <w:r w:rsidR="00FE5EEE">
              <w:rPr>
                <w:rFonts w:eastAsia="Times New Roman" w:cstheme="minorHAns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3251" w:type="dxa"/>
            <w:vAlign w:val="center"/>
          </w:tcPr>
          <w:p w:rsidR="00E91091" w:rsidRPr="00760837" w:rsidRDefault="00FE5EEE" w:rsidP="00E91091">
            <w:pPr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73 (22%)</w:t>
            </w:r>
          </w:p>
        </w:tc>
        <w:tc>
          <w:tcPr>
            <w:tcW w:w="3252" w:type="dxa"/>
            <w:vAlign w:val="center"/>
          </w:tcPr>
          <w:p w:rsidR="00E91091" w:rsidRPr="00760837" w:rsidRDefault="00FE5EEE" w:rsidP="00E91091">
            <w:pPr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141 (42%)</w:t>
            </w:r>
          </w:p>
        </w:tc>
      </w:tr>
    </w:tbl>
    <w:p w:rsidR="00E91091" w:rsidRDefault="00E91091" w:rsidP="004D6FC4">
      <w:pPr>
        <w:pStyle w:val="NoSpacing"/>
        <w:jc w:val="both"/>
      </w:pPr>
    </w:p>
    <w:p w:rsidR="008762C5" w:rsidRPr="00AB2CBC" w:rsidRDefault="00FE5EEE" w:rsidP="004D6FC4">
      <w:pPr>
        <w:pStyle w:val="NoSpacing"/>
        <w:jc w:val="both"/>
      </w:pPr>
      <w:r>
        <w:t xml:space="preserve">It is recommended that annual asthma reviews contain an assessment of a patient’s asthma control using a recommended tool. </w:t>
      </w:r>
      <w:r w:rsidR="008762C5" w:rsidRPr="00AB2CBC">
        <w:t>Audit results showed</w:t>
      </w:r>
    </w:p>
    <w:p w:rsidR="008762C5" w:rsidRPr="00AB2CBC" w:rsidRDefault="00FE5EEE" w:rsidP="008762C5">
      <w:pPr>
        <w:pStyle w:val="NoSpacing"/>
        <w:numPr>
          <w:ilvl w:val="0"/>
          <w:numId w:val="9"/>
        </w:numPr>
        <w:jc w:val="both"/>
      </w:pPr>
      <w:r w:rsidRPr="00AB2CBC">
        <w:t>that only approximately half of the asthmatic patients reviewed were considered to have well controlled asthma.</w:t>
      </w:r>
    </w:p>
    <w:p w:rsidR="00FE5EEE" w:rsidRPr="00AB2CBC" w:rsidRDefault="00FE5EEE" w:rsidP="008762C5">
      <w:pPr>
        <w:pStyle w:val="NoSpacing"/>
        <w:numPr>
          <w:ilvl w:val="0"/>
          <w:numId w:val="9"/>
        </w:numPr>
        <w:jc w:val="both"/>
        <w:rPr>
          <w:i/>
        </w:rPr>
      </w:pPr>
      <w:r w:rsidRPr="00AB2CBC">
        <w:t>Of the adult asthmatic patients</w:t>
      </w:r>
      <w:r w:rsidR="008762C5" w:rsidRPr="00AB2CBC">
        <w:t>,</w:t>
      </w:r>
      <w:r w:rsidRPr="00AB2CBC">
        <w:t xml:space="preserve"> who were documented as being suitable for </w:t>
      </w:r>
      <w:r w:rsidR="004C5642" w:rsidRPr="00AB2CBC">
        <w:t>a trial of</w:t>
      </w:r>
      <w:r w:rsidRPr="00AB2CBC">
        <w:t xml:space="preserve"> stepping down treatment</w:t>
      </w:r>
      <w:r w:rsidR="004C5642" w:rsidRPr="00AB2CBC">
        <w:t>,</w:t>
      </w:r>
      <w:r w:rsidRPr="00AB2CBC">
        <w:t xml:space="preserve"> only 50% had their IC</w:t>
      </w:r>
      <w:r w:rsidR="00977F35" w:rsidRPr="00AB2CBC">
        <w:t>S</w:t>
      </w:r>
      <w:r w:rsidRPr="00AB2CBC">
        <w:t xml:space="preserve"> dose reduced. </w:t>
      </w:r>
      <w:r w:rsidRPr="00AB2CBC">
        <w:rPr>
          <w:i/>
        </w:rPr>
        <w:t xml:space="preserve">This may </w:t>
      </w:r>
      <w:r w:rsidR="008762C5" w:rsidRPr="00AB2CBC">
        <w:rPr>
          <w:i/>
        </w:rPr>
        <w:t>suggest</w:t>
      </w:r>
      <w:r w:rsidRPr="00AB2CBC">
        <w:rPr>
          <w:i/>
        </w:rPr>
        <w:t xml:space="preserve"> </w:t>
      </w:r>
      <w:r w:rsidR="00384E54" w:rsidRPr="00AB2CBC">
        <w:rPr>
          <w:i/>
        </w:rPr>
        <w:t>reluctance</w:t>
      </w:r>
      <w:r w:rsidRPr="00AB2CBC">
        <w:rPr>
          <w:i/>
        </w:rPr>
        <w:t xml:space="preserve"> by GPs to step down patients off higher doses of ICS.</w:t>
      </w:r>
    </w:p>
    <w:p w:rsidR="004D6FC4" w:rsidRPr="00AB2CBC" w:rsidRDefault="00FE5EEE" w:rsidP="004D6FC4">
      <w:pPr>
        <w:pStyle w:val="NoSpacing"/>
        <w:jc w:val="both"/>
      </w:pPr>
      <w:r w:rsidRPr="00AB2CBC">
        <w:t xml:space="preserve"> </w:t>
      </w:r>
    </w:p>
    <w:p w:rsidR="004D6FC4" w:rsidRPr="00AB2CBC" w:rsidRDefault="00FE5EEE" w:rsidP="004D6FC4">
      <w:pPr>
        <w:pStyle w:val="NoSpacing"/>
        <w:jc w:val="both"/>
      </w:pPr>
      <w:r w:rsidRPr="00AB2CBC">
        <w:t>T</w:t>
      </w:r>
      <w:r w:rsidR="00D93DB3" w:rsidRPr="00AB2CBC">
        <w:t xml:space="preserve">he </w:t>
      </w:r>
      <w:r w:rsidRPr="00AB2CBC">
        <w:t xml:space="preserve">audit </w:t>
      </w:r>
      <w:r w:rsidR="00D93DB3" w:rsidRPr="00AB2CBC">
        <w:t>results</w:t>
      </w:r>
      <w:r w:rsidR="004D6FC4" w:rsidRPr="00AB2CBC">
        <w:t xml:space="preserve"> </w:t>
      </w:r>
      <w:r w:rsidRPr="00AB2CBC">
        <w:t xml:space="preserve">have also </w:t>
      </w:r>
      <w:r w:rsidR="004D6FC4" w:rsidRPr="00AB2CBC">
        <w:t>suggested that clinicians (</w:t>
      </w:r>
      <w:r w:rsidR="00D93DB3" w:rsidRPr="00AB2CBC">
        <w:t xml:space="preserve">both </w:t>
      </w:r>
      <w:r w:rsidR="004D6FC4" w:rsidRPr="00AB2CBC">
        <w:t>P</w:t>
      </w:r>
      <w:r w:rsidR="00D93DB3" w:rsidRPr="00AB2CBC">
        <w:t xml:space="preserve">ractice </w:t>
      </w:r>
      <w:r w:rsidR="004D6FC4" w:rsidRPr="00AB2CBC">
        <w:t>N</w:t>
      </w:r>
      <w:r w:rsidR="00D93DB3" w:rsidRPr="00AB2CBC">
        <w:t>urse</w:t>
      </w:r>
      <w:r w:rsidR="004D6FC4" w:rsidRPr="00AB2CBC">
        <w:t xml:space="preserve">s and GPs) </w:t>
      </w:r>
      <w:r w:rsidR="00D93DB3" w:rsidRPr="00AB2CBC">
        <w:t xml:space="preserve">often </w:t>
      </w:r>
      <w:r w:rsidR="004D6FC4" w:rsidRPr="00AB2CBC">
        <w:t xml:space="preserve">do not review </w:t>
      </w:r>
      <w:r w:rsidR="0088712C" w:rsidRPr="00AB2CBC">
        <w:t xml:space="preserve">the frequency of </w:t>
      </w:r>
      <w:r w:rsidR="004D6FC4" w:rsidRPr="00AB2CBC">
        <w:t>medication issues to assess adherence</w:t>
      </w:r>
      <w:r w:rsidR="0088712C" w:rsidRPr="00AB2CBC">
        <w:t>,</w:t>
      </w:r>
      <w:r w:rsidR="004D6FC4" w:rsidRPr="00AB2CBC">
        <w:t xml:space="preserve"> nor do they look at </w:t>
      </w:r>
      <w:r w:rsidR="00D93DB3" w:rsidRPr="00AB2CBC">
        <w:t>patients</w:t>
      </w:r>
      <w:r w:rsidR="004D6FC4" w:rsidRPr="00AB2CBC">
        <w:t xml:space="preserve"> holistically e.g. shortness of breath due to obesity. As a result, patients who report continued wheezing often have another drug added to their medication regime</w:t>
      </w:r>
      <w:r w:rsidR="004C5642" w:rsidRPr="00AB2CBC">
        <w:t>,</w:t>
      </w:r>
      <w:r w:rsidR="004D6FC4" w:rsidRPr="00AB2CBC">
        <w:t xml:space="preserve"> or their ICS dose will be increased</w:t>
      </w:r>
      <w:r w:rsidR="004C5642" w:rsidRPr="00AB2CBC">
        <w:t>,</w:t>
      </w:r>
      <w:r w:rsidR="004D6FC4" w:rsidRPr="00AB2CBC">
        <w:t xml:space="preserve"> without</w:t>
      </w:r>
      <w:r w:rsidR="004E7131" w:rsidRPr="00AB2CBC">
        <w:t xml:space="preserve"> an</w:t>
      </w:r>
      <w:r w:rsidR="004D6FC4" w:rsidRPr="00AB2CBC">
        <w:t xml:space="preserve"> inh</w:t>
      </w:r>
      <w:r w:rsidR="0088712C" w:rsidRPr="00AB2CBC">
        <w:t xml:space="preserve">aler technique check or questions asked </w:t>
      </w:r>
      <w:r w:rsidR="004D6FC4" w:rsidRPr="00AB2CBC">
        <w:t>a</w:t>
      </w:r>
      <w:r w:rsidR="0088712C" w:rsidRPr="00AB2CBC">
        <w:t>bout</w:t>
      </w:r>
      <w:r w:rsidR="004D6FC4" w:rsidRPr="00AB2CBC">
        <w:t xml:space="preserve"> frequency of use</w:t>
      </w:r>
      <w:r w:rsidR="004C5642" w:rsidRPr="00AB2CBC">
        <w:t xml:space="preserve"> first</w:t>
      </w:r>
      <w:r w:rsidR="004D6FC4" w:rsidRPr="00AB2CBC">
        <w:t>.</w:t>
      </w:r>
    </w:p>
    <w:p w:rsidR="00633EDB" w:rsidRPr="00AB2CBC" w:rsidRDefault="00633EDB" w:rsidP="00633EDB">
      <w:pPr>
        <w:pStyle w:val="NoSpacing"/>
        <w:jc w:val="both"/>
      </w:pPr>
    </w:p>
    <w:p w:rsidR="00AD7321" w:rsidRPr="00AB2CBC" w:rsidRDefault="00AD7321" w:rsidP="00633EDB">
      <w:pPr>
        <w:pStyle w:val="NoSpacing"/>
        <w:jc w:val="both"/>
        <w:rPr>
          <w:b/>
        </w:rPr>
      </w:pPr>
      <w:r w:rsidRPr="00AB2CBC">
        <w:rPr>
          <w:b/>
        </w:rPr>
        <w:t>Limitations and Challenges</w:t>
      </w:r>
    </w:p>
    <w:p w:rsidR="007E7FD8" w:rsidRPr="00AB2CBC" w:rsidRDefault="00AD7321" w:rsidP="007E7FD8">
      <w:pPr>
        <w:pStyle w:val="NoSpacing"/>
        <w:numPr>
          <w:ilvl w:val="0"/>
          <w:numId w:val="1"/>
        </w:numPr>
        <w:jc w:val="both"/>
        <w:rPr>
          <w:i/>
        </w:rPr>
      </w:pPr>
      <w:r w:rsidRPr="00AB2CBC">
        <w:t>The completion of the audit tool was considered to be time consuming</w:t>
      </w:r>
      <w:r w:rsidR="00E836AA" w:rsidRPr="00AB2CBC">
        <w:t xml:space="preserve">. </w:t>
      </w:r>
      <w:r w:rsidR="00E836AA" w:rsidRPr="00AB2CBC">
        <w:rPr>
          <w:i/>
        </w:rPr>
        <w:t>This</w:t>
      </w:r>
      <w:r w:rsidR="004C5642" w:rsidRPr="00AB2CBC">
        <w:rPr>
          <w:i/>
        </w:rPr>
        <w:t xml:space="preserve"> may have </w:t>
      </w:r>
      <w:r w:rsidR="00215F4C" w:rsidRPr="00AB2CBC">
        <w:rPr>
          <w:i/>
        </w:rPr>
        <w:t xml:space="preserve">affected </w:t>
      </w:r>
      <w:r w:rsidR="004C5642" w:rsidRPr="00AB2CBC">
        <w:rPr>
          <w:i/>
        </w:rPr>
        <w:t>the quality of responses</w:t>
      </w:r>
    </w:p>
    <w:p w:rsidR="007E7FD8" w:rsidRPr="00AB2CBC" w:rsidRDefault="00AD7321" w:rsidP="007E7FD8">
      <w:pPr>
        <w:pStyle w:val="NoSpacing"/>
        <w:numPr>
          <w:ilvl w:val="0"/>
          <w:numId w:val="1"/>
        </w:numPr>
        <w:jc w:val="both"/>
      </w:pPr>
      <w:r w:rsidRPr="00AB2CBC">
        <w:t>Some practices did not review their patients until the last quarter</w:t>
      </w:r>
      <w:r w:rsidR="007E7FD8" w:rsidRPr="00AB2CBC">
        <w:t xml:space="preserve"> </w:t>
      </w:r>
      <w:r w:rsidR="00215F4C" w:rsidRPr="00AB2CBC">
        <w:t>of the financial year</w:t>
      </w:r>
      <w:r w:rsidR="00E836AA" w:rsidRPr="00AB2CBC">
        <w:t>.</w:t>
      </w:r>
      <w:r w:rsidR="00215F4C" w:rsidRPr="00AB2CBC">
        <w:t xml:space="preserve"> </w:t>
      </w:r>
      <w:r w:rsidR="00E836AA" w:rsidRPr="00AB2CBC">
        <w:t>This meant that they</w:t>
      </w:r>
      <w:r w:rsidR="007E7FD8" w:rsidRPr="00AB2CBC">
        <w:t xml:space="preserve"> were unable to </w:t>
      </w:r>
      <w:r w:rsidR="00E836AA" w:rsidRPr="00AB2CBC">
        <w:t xml:space="preserve">fully </w:t>
      </w:r>
      <w:r w:rsidR="007E7FD8" w:rsidRPr="00AB2CBC">
        <w:t xml:space="preserve">complete the </w:t>
      </w:r>
      <w:r w:rsidR="00E836AA" w:rsidRPr="00AB2CBC">
        <w:t xml:space="preserve">audit </w:t>
      </w:r>
      <w:r w:rsidR="007E7FD8" w:rsidRPr="00AB2CBC">
        <w:t xml:space="preserve">cycle </w:t>
      </w:r>
      <w:r w:rsidR="00E937AB" w:rsidRPr="00AB2CBC">
        <w:t xml:space="preserve">and </w:t>
      </w:r>
      <w:r w:rsidR="007E7FD8" w:rsidRPr="00AB2CBC">
        <w:t>document the outcomes.</w:t>
      </w:r>
    </w:p>
    <w:p w:rsidR="006B5A6D" w:rsidRPr="00AB2CBC" w:rsidRDefault="006B5A6D" w:rsidP="00633EDB">
      <w:pPr>
        <w:pStyle w:val="NoSpacing"/>
        <w:jc w:val="both"/>
        <w:rPr>
          <w:b/>
        </w:rPr>
      </w:pPr>
    </w:p>
    <w:p w:rsidR="00AD7321" w:rsidRPr="00AB2CBC" w:rsidRDefault="00AD7321" w:rsidP="00633EDB">
      <w:pPr>
        <w:pStyle w:val="NoSpacing"/>
        <w:jc w:val="both"/>
        <w:rPr>
          <w:b/>
        </w:rPr>
      </w:pPr>
      <w:r w:rsidRPr="00AB2CBC">
        <w:rPr>
          <w:b/>
        </w:rPr>
        <w:t>Next steps</w:t>
      </w:r>
    </w:p>
    <w:p w:rsidR="001B7F5E" w:rsidRPr="00AB2CBC" w:rsidRDefault="001B7F5E" w:rsidP="001B7F5E">
      <w:pPr>
        <w:pStyle w:val="NoSpacing"/>
        <w:numPr>
          <w:ilvl w:val="0"/>
          <w:numId w:val="4"/>
        </w:numPr>
        <w:jc w:val="both"/>
      </w:pPr>
      <w:r w:rsidRPr="00AB2CBC">
        <w:t>Continue to promote the community pharmacist’s role in supporting asthma patients e.g. with inhaler technique checks, Medicines Use Reviews and smoking cessation</w:t>
      </w:r>
      <w:r w:rsidR="00E836AA" w:rsidRPr="00AB2CBC">
        <w:t xml:space="preserve"> advice</w:t>
      </w:r>
      <w:r w:rsidRPr="00AB2CBC">
        <w:t>.</w:t>
      </w:r>
    </w:p>
    <w:p w:rsidR="001B7F5E" w:rsidRPr="00AB2CBC" w:rsidRDefault="001B7F5E" w:rsidP="001B7F5E">
      <w:pPr>
        <w:pStyle w:val="NoSpacing"/>
        <w:numPr>
          <w:ilvl w:val="0"/>
          <w:numId w:val="4"/>
        </w:numPr>
        <w:jc w:val="both"/>
      </w:pPr>
      <w:r w:rsidRPr="00AB2CBC">
        <w:t>Investigate the use of the PRIMIS Grasp Asthma Care Tool to target our h</w:t>
      </w:r>
      <w:r w:rsidR="00E836AA" w:rsidRPr="00AB2CBC">
        <w:t>ighest risk patients for review e.g.</w:t>
      </w:r>
      <w:r w:rsidRPr="00AB2CBC">
        <w:t xml:space="preserve"> identify</w:t>
      </w:r>
      <w:r w:rsidR="00E836AA" w:rsidRPr="00AB2CBC">
        <w:t>ing</w:t>
      </w:r>
      <w:r w:rsidRPr="00AB2CBC">
        <w:t xml:space="preserve"> those patients receiving high numbers of salbutamol prescriptions.</w:t>
      </w:r>
    </w:p>
    <w:p w:rsidR="007E7FD8" w:rsidRPr="00AB2CBC" w:rsidRDefault="001B7F5E" w:rsidP="007E7FD8">
      <w:pPr>
        <w:pStyle w:val="NoSpacing"/>
        <w:numPr>
          <w:ilvl w:val="0"/>
          <w:numId w:val="4"/>
        </w:numPr>
        <w:jc w:val="both"/>
      </w:pPr>
      <w:r w:rsidRPr="00AB2CBC">
        <w:t>T</w:t>
      </w:r>
      <w:r w:rsidR="007E7FD8" w:rsidRPr="00AB2CBC">
        <w:t xml:space="preserve">he results of the audit </w:t>
      </w:r>
      <w:r w:rsidRPr="00AB2CBC">
        <w:t xml:space="preserve">will be used </w:t>
      </w:r>
      <w:r w:rsidR="007E7FD8" w:rsidRPr="00AB2CBC">
        <w:t xml:space="preserve">to support the development of new ways to encourage patient attendance at asthma reviews. </w:t>
      </w:r>
    </w:p>
    <w:p w:rsidR="007E7FD8" w:rsidRPr="00AB2CBC" w:rsidRDefault="001B7F5E" w:rsidP="00633EDB">
      <w:pPr>
        <w:pStyle w:val="NoSpacing"/>
        <w:numPr>
          <w:ilvl w:val="0"/>
          <w:numId w:val="4"/>
        </w:numPr>
        <w:jc w:val="both"/>
      </w:pPr>
      <w:r w:rsidRPr="00AB2CBC">
        <w:t xml:space="preserve">The </w:t>
      </w:r>
      <w:r w:rsidR="00B549F6" w:rsidRPr="00AB2CBC">
        <w:t xml:space="preserve">audit results </w:t>
      </w:r>
      <w:r w:rsidR="00E836AA" w:rsidRPr="00AB2CBC">
        <w:t>will</w:t>
      </w:r>
      <w:r w:rsidRPr="00AB2CBC">
        <w:t xml:space="preserve"> be shared </w:t>
      </w:r>
      <w:r w:rsidR="00B549F6" w:rsidRPr="00AB2CBC">
        <w:t xml:space="preserve">with </w:t>
      </w:r>
      <w:r w:rsidRPr="00AB2CBC">
        <w:t xml:space="preserve">Croydon </w:t>
      </w:r>
      <w:r w:rsidR="00B549F6" w:rsidRPr="00AB2CBC">
        <w:t>Community Children’s Asthma Nursing Team</w:t>
      </w:r>
      <w:r w:rsidR="00E836AA" w:rsidRPr="00AB2CBC">
        <w:t xml:space="preserve">, to support them in identifying </w:t>
      </w:r>
      <w:r w:rsidR="00B549F6" w:rsidRPr="00AB2CBC">
        <w:t>targeted support</w:t>
      </w:r>
      <w:r w:rsidR="00E836AA" w:rsidRPr="00AB2CBC">
        <w:t xml:space="preserve"> that individual practices may require.</w:t>
      </w:r>
      <w:r w:rsidR="00B549F6" w:rsidRPr="00AB2CBC">
        <w:t xml:space="preserve"> </w:t>
      </w:r>
    </w:p>
    <w:p w:rsidR="00ED4A10" w:rsidRPr="00AB2CBC" w:rsidRDefault="00ED4A10" w:rsidP="00633EDB">
      <w:pPr>
        <w:pStyle w:val="NoSpacing"/>
        <w:numPr>
          <w:ilvl w:val="0"/>
          <w:numId w:val="4"/>
        </w:numPr>
        <w:jc w:val="both"/>
      </w:pPr>
      <w:r w:rsidRPr="00AB2CBC">
        <w:t>develop</w:t>
      </w:r>
      <w:r w:rsidR="001E1723" w:rsidRPr="00AB2CBC">
        <w:t>ed</w:t>
      </w:r>
      <w:r w:rsidRPr="00AB2CBC">
        <w:t xml:space="preserve"> </w:t>
      </w:r>
      <w:r w:rsidR="001E1723" w:rsidRPr="00AB2CBC">
        <w:t xml:space="preserve">local Asthma guidance and prepared a quick reference inhaler recommendation guide. </w:t>
      </w:r>
    </w:p>
    <w:p w:rsidR="00E836AA" w:rsidRPr="00AB2CBC" w:rsidRDefault="00E836AA" w:rsidP="00E836AA">
      <w:pPr>
        <w:pStyle w:val="NoSpacing"/>
        <w:ind w:left="720"/>
        <w:jc w:val="both"/>
      </w:pPr>
    </w:p>
    <w:p w:rsidR="00453411" w:rsidRPr="004D6FC4" w:rsidRDefault="00453411" w:rsidP="00633EDB">
      <w:pPr>
        <w:pStyle w:val="NoSpacing"/>
        <w:jc w:val="both"/>
        <w:rPr>
          <w:b/>
        </w:rPr>
      </w:pPr>
      <w:r w:rsidRPr="004D6FC4">
        <w:rPr>
          <w:b/>
        </w:rPr>
        <w:t>References</w:t>
      </w:r>
    </w:p>
    <w:p w:rsidR="005A11AC" w:rsidRDefault="005A11AC" w:rsidP="005A11AC">
      <w:pPr>
        <w:pStyle w:val="NoSpacing"/>
        <w:numPr>
          <w:ilvl w:val="0"/>
          <w:numId w:val="5"/>
        </w:numPr>
        <w:ind w:left="284"/>
        <w:jc w:val="both"/>
        <w:rPr>
          <w:sz w:val="20"/>
        </w:rPr>
      </w:pPr>
      <w:r w:rsidRPr="005A11AC">
        <w:rPr>
          <w:sz w:val="20"/>
        </w:rPr>
        <w:t>London Respiratory Team</w:t>
      </w:r>
      <w:r>
        <w:rPr>
          <w:sz w:val="20"/>
        </w:rPr>
        <w:t xml:space="preserve"> - </w:t>
      </w:r>
      <w:r w:rsidRPr="005A11AC">
        <w:rPr>
          <w:sz w:val="20"/>
        </w:rPr>
        <w:t>Case for change in London respiratory services</w:t>
      </w:r>
      <w:r>
        <w:rPr>
          <w:sz w:val="20"/>
        </w:rPr>
        <w:t xml:space="preserve"> </w:t>
      </w:r>
      <w:r w:rsidRPr="005A11AC">
        <w:rPr>
          <w:sz w:val="20"/>
        </w:rPr>
        <w:t>using a right care approach</w:t>
      </w:r>
      <w:r>
        <w:rPr>
          <w:sz w:val="20"/>
        </w:rPr>
        <w:t>. August 2011</w:t>
      </w:r>
    </w:p>
    <w:p w:rsidR="00592AE1" w:rsidRDefault="00B549F6" w:rsidP="005A11AC">
      <w:pPr>
        <w:pStyle w:val="NoSpacing"/>
        <w:numPr>
          <w:ilvl w:val="0"/>
          <w:numId w:val="5"/>
        </w:numPr>
        <w:ind w:left="284"/>
        <w:jc w:val="both"/>
        <w:rPr>
          <w:sz w:val="20"/>
        </w:rPr>
      </w:pPr>
      <w:r w:rsidRPr="004D6FC4">
        <w:rPr>
          <w:sz w:val="20"/>
        </w:rPr>
        <w:t>Why asthma still kills - The National Review of Asthma Deaths (NRAD) Confidential Enquiry report. May 2014</w:t>
      </w:r>
    </w:p>
    <w:p w:rsidR="00E937AB" w:rsidRDefault="00E937AB" w:rsidP="001B7F5E">
      <w:pPr>
        <w:pStyle w:val="NoSpacing"/>
        <w:jc w:val="center"/>
        <w:rPr>
          <w:b/>
        </w:rPr>
      </w:pPr>
    </w:p>
    <w:p w:rsidR="00E937AB" w:rsidRDefault="00E937AB" w:rsidP="001B7F5E">
      <w:pPr>
        <w:pStyle w:val="NoSpacing"/>
        <w:jc w:val="center"/>
        <w:rPr>
          <w:b/>
        </w:rPr>
      </w:pPr>
    </w:p>
    <w:p w:rsidR="00E937AB" w:rsidRPr="00162AFF" w:rsidRDefault="00162AFF" w:rsidP="00162AFF">
      <w:pPr>
        <w:pStyle w:val="NoSpacing"/>
        <w:jc w:val="both"/>
        <w:rPr>
          <w:b/>
          <w:sz w:val="20"/>
          <w:szCs w:val="20"/>
        </w:rPr>
      </w:pPr>
      <w:r w:rsidRPr="00162AFF">
        <w:rPr>
          <w:b/>
          <w:i/>
          <w:sz w:val="20"/>
          <w:szCs w:val="20"/>
        </w:rPr>
        <w:t>For further information about the audit contact Margaret Haastrup</w:t>
      </w:r>
      <w:r w:rsidRPr="00162AFF">
        <w:rPr>
          <w:b/>
          <w:i/>
          <w:sz w:val="20"/>
          <w:szCs w:val="20"/>
        </w:rPr>
        <w:t>, Victoria MacGrego</w:t>
      </w:r>
      <w:r>
        <w:rPr>
          <w:b/>
          <w:i/>
          <w:sz w:val="20"/>
          <w:szCs w:val="20"/>
        </w:rPr>
        <w:t xml:space="preserve">r or Shamim Jiwa at </w:t>
      </w:r>
      <w:r w:rsidRPr="00162AFF">
        <w:rPr>
          <w:b/>
          <w:i/>
          <w:sz w:val="20"/>
          <w:szCs w:val="20"/>
        </w:rPr>
        <w:t xml:space="preserve"> </w:t>
      </w:r>
      <w:r w:rsidRPr="00162AFF">
        <w:rPr>
          <w:b/>
          <w:i/>
          <w:sz w:val="20"/>
          <w:szCs w:val="20"/>
        </w:rPr>
        <w:t>Pharmaceut</w:t>
      </w:r>
      <w:r>
        <w:rPr>
          <w:b/>
          <w:i/>
          <w:sz w:val="20"/>
          <w:szCs w:val="20"/>
        </w:rPr>
        <w:t xml:space="preserve">ical Team, </w:t>
      </w:r>
      <w:r w:rsidRPr="00162AFF">
        <w:rPr>
          <w:b/>
          <w:i/>
          <w:sz w:val="20"/>
          <w:szCs w:val="20"/>
        </w:rPr>
        <w:t xml:space="preserve">Croydon CCG </w:t>
      </w:r>
      <w:r w:rsidR="00E50494">
        <w:rPr>
          <w:b/>
          <w:i/>
          <w:sz w:val="20"/>
          <w:szCs w:val="20"/>
        </w:rPr>
        <w:t xml:space="preserve"> </w:t>
      </w:r>
      <w:r w:rsidRPr="00162AFF">
        <w:rPr>
          <w:b/>
          <w:i/>
          <w:sz w:val="20"/>
          <w:szCs w:val="20"/>
        </w:rPr>
        <w:t>Tel</w:t>
      </w:r>
      <w:r>
        <w:rPr>
          <w:b/>
          <w:i/>
          <w:sz w:val="20"/>
          <w:szCs w:val="20"/>
        </w:rPr>
        <w:t>:</w:t>
      </w:r>
      <w:r w:rsidRPr="00162AFF">
        <w:rPr>
          <w:b/>
          <w:i/>
          <w:sz w:val="20"/>
          <w:szCs w:val="20"/>
        </w:rPr>
        <w:t xml:space="preserve"> 0203 668 1331</w:t>
      </w:r>
    </w:p>
    <w:p w:rsidR="00E937AB" w:rsidRDefault="00E937AB" w:rsidP="001B7F5E">
      <w:pPr>
        <w:pStyle w:val="NoSpacing"/>
        <w:jc w:val="center"/>
        <w:rPr>
          <w:b/>
        </w:rPr>
      </w:pPr>
    </w:p>
    <w:p w:rsidR="00E937AB" w:rsidRDefault="00E937AB" w:rsidP="001B7F5E">
      <w:pPr>
        <w:pStyle w:val="NoSpacing"/>
        <w:jc w:val="center"/>
        <w:rPr>
          <w:b/>
        </w:rPr>
      </w:pPr>
    </w:p>
    <w:p w:rsidR="00384E54" w:rsidRPr="00146993" w:rsidRDefault="00384E54" w:rsidP="001B7F5E">
      <w:pPr>
        <w:pStyle w:val="NoSpacing"/>
        <w:jc w:val="center"/>
        <w:rPr>
          <w:b/>
        </w:rPr>
      </w:pPr>
      <w:r w:rsidRPr="00146993">
        <w:rPr>
          <w:b/>
        </w:rPr>
        <w:lastRenderedPageBreak/>
        <w:t>Appendix 1:</w:t>
      </w:r>
    </w:p>
    <w:p w:rsidR="00384E54" w:rsidRDefault="00384E54" w:rsidP="00633EDB">
      <w:pPr>
        <w:pStyle w:val="NoSpacing"/>
        <w:jc w:val="both"/>
      </w:pPr>
    </w:p>
    <w:p w:rsidR="00760837" w:rsidRDefault="00384E54" w:rsidP="00633EDB">
      <w:pPr>
        <w:pStyle w:val="NoSpacing"/>
        <w:jc w:val="both"/>
        <w:rPr>
          <w:b/>
          <w:sz w:val="20"/>
        </w:rPr>
      </w:pPr>
      <w:r w:rsidRPr="00146993">
        <w:rPr>
          <w:b/>
          <w:sz w:val="20"/>
        </w:rPr>
        <w:t>Audit Outcomes - Problems Identified</w:t>
      </w:r>
    </w:p>
    <w:p w:rsidR="001B7F5E" w:rsidRPr="00146993" w:rsidRDefault="001B7F5E" w:rsidP="00633EDB">
      <w:pPr>
        <w:pStyle w:val="NoSpacing"/>
        <w:jc w:val="both"/>
        <w:rPr>
          <w:b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46"/>
        <w:gridCol w:w="1772"/>
        <w:gridCol w:w="1772"/>
      </w:tblGrid>
      <w:tr w:rsidR="00384E54" w:rsidRPr="00384E54" w:rsidTr="00146993">
        <w:trPr>
          <w:trHeight w:val="18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4E54" w:rsidRPr="00384E54" w:rsidRDefault="00384E54" w:rsidP="00384E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4E54" w:rsidRPr="00384E54" w:rsidRDefault="00384E54" w:rsidP="00384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18"/>
                <w:szCs w:val="18"/>
                <w:lang w:eastAsia="en-GB"/>
              </w:rPr>
              <w:t>Children</w:t>
            </w:r>
          </w:p>
          <w:p w:rsidR="00384E54" w:rsidRPr="00384E54" w:rsidRDefault="00384E54" w:rsidP="00384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18"/>
                <w:szCs w:val="18"/>
                <w:lang w:eastAsia="en-GB"/>
              </w:rPr>
              <w:t>No. (%)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4E54" w:rsidRPr="00384E54" w:rsidRDefault="00384E54" w:rsidP="00384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18"/>
                <w:szCs w:val="18"/>
                <w:lang w:eastAsia="en-GB"/>
              </w:rPr>
              <w:t>Adults</w:t>
            </w:r>
          </w:p>
          <w:p w:rsidR="00384E54" w:rsidRPr="00384E54" w:rsidRDefault="00384E54" w:rsidP="00384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18"/>
                <w:szCs w:val="18"/>
                <w:lang w:eastAsia="en-GB"/>
              </w:rPr>
              <w:t>No. (%)</w:t>
            </w:r>
          </w:p>
        </w:tc>
      </w:tr>
      <w:tr w:rsidR="00384E54" w:rsidRPr="00384E54" w:rsidTr="00146993">
        <w:trPr>
          <w:trHeight w:val="23"/>
        </w:trPr>
        <w:tc>
          <w:tcPr>
            <w:tcW w:w="35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18"/>
                <w:lang w:eastAsia="en-GB"/>
              </w:rPr>
              <w:t>Over/Under use of ICS</w:t>
            </w:r>
          </w:p>
        </w:tc>
        <w:tc>
          <w:tcPr>
            <w:tcW w:w="177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en-GB"/>
              </w:rPr>
              <w:t>68 (20%)</w:t>
            </w:r>
          </w:p>
        </w:tc>
        <w:tc>
          <w:tcPr>
            <w:tcW w:w="177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en-GB"/>
              </w:rPr>
              <w:t>614 (23%)</w:t>
            </w:r>
          </w:p>
        </w:tc>
      </w:tr>
      <w:tr w:rsidR="00384E54" w:rsidRPr="00384E54" w:rsidTr="00146993">
        <w:trPr>
          <w:trHeight w:val="18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18"/>
                <w:lang w:eastAsia="en-GB"/>
              </w:rPr>
              <w:t>Dose of ICS is unclear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en-GB"/>
              </w:rPr>
              <w:t>37 (11%)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en-GB"/>
              </w:rPr>
              <w:t>135 (5%)</w:t>
            </w:r>
          </w:p>
        </w:tc>
      </w:tr>
      <w:tr w:rsidR="00384E54" w:rsidRPr="00384E54" w:rsidTr="00146993">
        <w:trPr>
          <w:trHeight w:val="18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18"/>
                <w:lang w:eastAsia="en-GB"/>
              </w:rPr>
              <w:t>Over/Under use of B</w:t>
            </w:r>
            <w:r w:rsidRPr="00384E54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position w:val="-9"/>
                <w:sz w:val="18"/>
                <w:szCs w:val="18"/>
                <w:vertAlign w:val="subscript"/>
                <w:lang w:eastAsia="en-GB"/>
              </w:rPr>
              <w:t>2</w:t>
            </w:r>
            <w:r w:rsidRPr="00384E54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18"/>
                <w:lang w:eastAsia="en-GB"/>
              </w:rPr>
              <w:t xml:space="preserve"> agonist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en-GB"/>
              </w:rPr>
              <w:t>11 (3%)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en-GB"/>
              </w:rPr>
              <w:t>105 (4%)</w:t>
            </w:r>
          </w:p>
        </w:tc>
      </w:tr>
      <w:tr w:rsidR="00384E54" w:rsidRPr="00384E54" w:rsidTr="00146993">
        <w:trPr>
          <w:trHeight w:val="18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18"/>
                <w:lang w:eastAsia="en-GB"/>
              </w:rPr>
              <w:t>Needs inhaler technique check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en-GB"/>
              </w:rPr>
              <w:t>23 (7%)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en-GB"/>
              </w:rPr>
              <w:t>147 (5%)</w:t>
            </w:r>
          </w:p>
        </w:tc>
      </w:tr>
      <w:tr w:rsidR="00384E54" w:rsidRPr="00384E54" w:rsidTr="00146993">
        <w:trPr>
          <w:trHeight w:val="18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18"/>
                <w:lang w:eastAsia="en-GB"/>
              </w:rPr>
              <w:t>Secondary care plan unclear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en-GB"/>
              </w:rPr>
              <w:t>6 (2%)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en-GB"/>
              </w:rPr>
              <w:t>10 (0.3%)</w:t>
            </w:r>
          </w:p>
        </w:tc>
      </w:tr>
      <w:tr w:rsidR="00384E54" w:rsidRPr="00384E54" w:rsidTr="00146993">
        <w:trPr>
          <w:trHeight w:val="18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18"/>
                <w:lang w:eastAsia="en-GB"/>
              </w:rPr>
              <w:t>On MDI – needs spacer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en-GB"/>
              </w:rPr>
              <w:t>8 (2%)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en-GB"/>
              </w:rPr>
              <w:t>134 (5%)</w:t>
            </w:r>
          </w:p>
        </w:tc>
      </w:tr>
      <w:tr w:rsidR="00384E54" w:rsidRPr="00384E54" w:rsidTr="00146993">
        <w:trPr>
          <w:trHeight w:val="18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18"/>
                <w:lang w:eastAsia="en-GB"/>
              </w:rPr>
              <w:t>No problem identified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en-GB"/>
              </w:rPr>
              <w:t>81 (24%)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en-GB"/>
              </w:rPr>
              <w:t>571 (21%)</w:t>
            </w:r>
          </w:p>
        </w:tc>
      </w:tr>
      <w:tr w:rsidR="00384E54" w:rsidRPr="00384E54" w:rsidTr="00146993">
        <w:trPr>
          <w:trHeight w:val="18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18"/>
                <w:lang w:eastAsia="en-GB"/>
              </w:rPr>
              <w:t>Don’t know if there is a problem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en-GB"/>
              </w:rPr>
              <w:t>47 (14%)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4E54" w:rsidRPr="00384E54" w:rsidRDefault="00384E54" w:rsidP="00384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84E54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18"/>
                <w:lang w:eastAsia="en-GB"/>
              </w:rPr>
              <w:t>598 (22%)</w:t>
            </w:r>
          </w:p>
        </w:tc>
      </w:tr>
    </w:tbl>
    <w:p w:rsidR="00384E54" w:rsidRDefault="00384E54" w:rsidP="00633EDB">
      <w:pPr>
        <w:pStyle w:val="NoSpacing"/>
        <w:jc w:val="both"/>
      </w:pPr>
    </w:p>
    <w:p w:rsidR="001B7F5E" w:rsidRDefault="001B7F5E" w:rsidP="00633EDB">
      <w:pPr>
        <w:pStyle w:val="NoSpacing"/>
        <w:jc w:val="both"/>
      </w:pPr>
    </w:p>
    <w:p w:rsidR="00384E54" w:rsidRDefault="00384E54" w:rsidP="00633EDB">
      <w:pPr>
        <w:pStyle w:val="NoSpacing"/>
        <w:jc w:val="both"/>
        <w:rPr>
          <w:b/>
          <w:sz w:val="20"/>
        </w:rPr>
      </w:pPr>
      <w:r w:rsidRPr="00146993">
        <w:rPr>
          <w:b/>
          <w:sz w:val="20"/>
        </w:rPr>
        <w:t>Audit outcomes - Actions taken</w:t>
      </w:r>
    </w:p>
    <w:p w:rsidR="001B7F5E" w:rsidRPr="00146993" w:rsidRDefault="001B7F5E" w:rsidP="00633EDB">
      <w:pPr>
        <w:pStyle w:val="NoSpacing"/>
        <w:jc w:val="both"/>
        <w:rPr>
          <w:b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16"/>
        <w:gridCol w:w="1787"/>
        <w:gridCol w:w="1787"/>
      </w:tblGrid>
      <w:tr w:rsidR="00146993" w:rsidRPr="00146993" w:rsidTr="00146993">
        <w:trPr>
          <w:trHeight w:val="18"/>
        </w:trPr>
        <w:tc>
          <w:tcPr>
            <w:tcW w:w="35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6993" w:rsidRPr="00146993" w:rsidRDefault="00146993" w:rsidP="001469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18"/>
                <w:szCs w:val="20"/>
                <w:lang w:eastAsia="en-GB"/>
              </w:rPr>
              <w:t>Children</w:t>
            </w:r>
          </w:p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18"/>
                <w:szCs w:val="20"/>
                <w:lang w:eastAsia="en-GB"/>
              </w:rPr>
              <w:t>No. (%)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18"/>
                <w:szCs w:val="20"/>
                <w:lang w:eastAsia="en-GB"/>
              </w:rPr>
              <w:t>Adults</w:t>
            </w:r>
          </w:p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18"/>
                <w:szCs w:val="20"/>
                <w:lang w:eastAsia="en-GB"/>
              </w:rPr>
              <w:t>No. (%)</w:t>
            </w:r>
          </w:p>
        </w:tc>
      </w:tr>
      <w:tr w:rsidR="00146993" w:rsidRPr="00146993" w:rsidTr="00146993">
        <w:trPr>
          <w:trHeight w:val="23"/>
        </w:trPr>
        <w:tc>
          <w:tcPr>
            <w:tcW w:w="35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20"/>
                <w:lang w:eastAsia="en-GB"/>
              </w:rPr>
              <w:t xml:space="preserve">Patient stepped down </w:t>
            </w:r>
          </w:p>
        </w:tc>
        <w:tc>
          <w:tcPr>
            <w:tcW w:w="17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>74 (22%)</w:t>
            </w:r>
          </w:p>
        </w:tc>
        <w:tc>
          <w:tcPr>
            <w:tcW w:w="17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>502 (18%)</w:t>
            </w:r>
          </w:p>
        </w:tc>
      </w:tr>
      <w:tr w:rsidR="00146993" w:rsidRPr="00146993" w:rsidTr="00146993">
        <w:trPr>
          <w:trHeight w:val="18"/>
        </w:trPr>
        <w:tc>
          <w:tcPr>
            <w:tcW w:w="3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20"/>
                <w:lang w:eastAsia="en-GB"/>
              </w:rPr>
              <w:t>Patient to continue on current dose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>124 (37%)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>694 (26%)</w:t>
            </w:r>
          </w:p>
        </w:tc>
      </w:tr>
      <w:tr w:rsidR="00146993" w:rsidRPr="00146993" w:rsidTr="00146993">
        <w:trPr>
          <w:trHeight w:val="18"/>
        </w:trPr>
        <w:tc>
          <w:tcPr>
            <w:tcW w:w="3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20"/>
                <w:lang w:eastAsia="en-GB"/>
              </w:rPr>
              <w:t>Inhaler Technique checked in surgery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 xml:space="preserve">3 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 xml:space="preserve">46 </w:t>
            </w:r>
          </w:p>
        </w:tc>
      </w:tr>
      <w:tr w:rsidR="00146993" w:rsidRPr="00146993" w:rsidTr="00146993">
        <w:trPr>
          <w:trHeight w:val="18"/>
        </w:trPr>
        <w:tc>
          <w:tcPr>
            <w:tcW w:w="3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20"/>
                <w:lang w:eastAsia="en-GB"/>
              </w:rPr>
              <w:t>Volumatic/spacer added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>3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>61</w:t>
            </w:r>
          </w:p>
        </w:tc>
      </w:tr>
      <w:tr w:rsidR="00146993" w:rsidRPr="00146993" w:rsidTr="00146993">
        <w:trPr>
          <w:trHeight w:val="18"/>
        </w:trPr>
        <w:tc>
          <w:tcPr>
            <w:tcW w:w="3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20"/>
                <w:lang w:eastAsia="en-GB"/>
              </w:rPr>
              <w:t xml:space="preserve">Asthma READ code updated 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>13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 xml:space="preserve">27 </w:t>
            </w:r>
          </w:p>
        </w:tc>
      </w:tr>
      <w:tr w:rsidR="00146993" w:rsidRPr="00146993" w:rsidTr="00146993">
        <w:trPr>
          <w:trHeight w:val="18"/>
        </w:trPr>
        <w:tc>
          <w:tcPr>
            <w:tcW w:w="3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20"/>
                <w:lang w:eastAsia="en-GB"/>
              </w:rPr>
              <w:t>Referred to Paediatrician/Chest Clinic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>6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 xml:space="preserve">29 </w:t>
            </w:r>
          </w:p>
        </w:tc>
      </w:tr>
      <w:tr w:rsidR="00146993" w:rsidRPr="00146993" w:rsidTr="00146993">
        <w:trPr>
          <w:trHeight w:val="18"/>
        </w:trPr>
        <w:tc>
          <w:tcPr>
            <w:tcW w:w="3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20"/>
                <w:lang w:eastAsia="en-GB"/>
              </w:rPr>
              <w:t>Phone contact made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>13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 xml:space="preserve">92 </w:t>
            </w:r>
          </w:p>
        </w:tc>
      </w:tr>
      <w:tr w:rsidR="00146993" w:rsidRPr="00146993" w:rsidTr="00146993">
        <w:trPr>
          <w:trHeight w:val="18"/>
        </w:trPr>
        <w:tc>
          <w:tcPr>
            <w:tcW w:w="3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20"/>
                <w:lang w:eastAsia="en-GB"/>
              </w:rPr>
              <w:t>Written action plan agreed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>11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 xml:space="preserve">29 </w:t>
            </w:r>
          </w:p>
        </w:tc>
      </w:tr>
      <w:tr w:rsidR="00146993" w:rsidRPr="00146993" w:rsidTr="00146993">
        <w:trPr>
          <w:trHeight w:val="18"/>
        </w:trPr>
        <w:tc>
          <w:tcPr>
            <w:tcW w:w="3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20"/>
                <w:lang w:eastAsia="en-GB"/>
              </w:rPr>
              <w:t>Oral action plan agreed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>6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 xml:space="preserve">100 </w:t>
            </w:r>
          </w:p>
        </w:tc>
      </w:tr>
      <w:tr w:rsidR="00146993" w:rsidRPr="00146993" w:rsidTr="00146993">
        <w:trPr>
          <w:trHeight w:val="18"/>
        </w:trPr>
        <w:tc>
          <w:tcPr>
            <w:tcW w:w="3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20"/>
                <w:lang w:eastAsia="en-GB"/>
              </w:rPr>
              <w:t>Not come in for review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>48 (14%)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>359 (13%)</w:t>
            </w:r>
          </w:p>
        </w:tc>
      </w:tr>
      <w:tr w:rsidR="00146993" w:rsidRPr="00146993" w:rsidTr="00146993">
        <w:trPr>
          <w:trHeight w:val="18"/>
        </w:trPr>
        <w:tc>
          <w:tcPr>
            <w:tcW w:w="3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18"/>
                <w:szCs w:val="20"/>
                <w:lang w:eastAsia="en-GB"/>
              </w:rPr>
              <w:t>No documented outcome to the action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>31</w:t>
            </w:r>
          </w:p>
        </w:tc>
        <w:tc>
          <w:tcPr>
            <w:tcW w:w="17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993" w:rsidRPr="00146993" w:rsidRDefault="00146993" w:rsidP="001469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r w:rsidRPr="00146993">
              <w:rPr>
                <w:rFonts w:ascii="Calibri" w:eastAsia="Times New Roman" w:hAnsi="Calibri" w:cs="Calibri"/>
                <w:color w:val="000000" w:themeColor="dark1"/>
                <w:kern w:val="24"/>
                <w:sz w:val="18"/>
                <w:szCs w:val="20"/>
                <w:lang w:eastAsia="en-GB"/>
              </w:rPr>
              <w:t>569</w:t>
            </w:r>
          </w:p>
        </w:tc>
      </w:tr>
    </w:tbl>
    <w:p w:rsidR="00384E54" w:rsidRDefault="00384E54" w:rsidP="00633EDB">
      <w:pPr>
        <w:pStyle w:val="NoSpacing"/>
        <w:jc w:val="both"/>
      </w:pPr>
    </w:p>
    <w:p w:rsidR="00977F35" w:rsidRDefault="00977F35" w:rsidP="00977F35">
      <w:pPr>
        <w:pStyle w:val="NoSpacing"/>
        <w:jc w:val="both"/>
        <w:rPr>
          <w:b/>
          <w:sz w:val="20"/>
          <w:szCs w:val="20"/>
        </w:rPr>
      </w:pPr>
      <w:r w:rsidRPr="00977F35">
        <w:rPr>
          <w:b/>
          <w:sz w:val="20"/>
          <w:szCs w:val="20"/>
        </w:rPr>
        <w:t>Positive Patient Outcomes</w:t>
      </w:r>
    </w:p>
    <w:p w:rsidR="00977F35" w:rsidRPr="00977F35" w:rsidRDefault="00977F35" w:rsidP="00977F35">
      <w:pPr>
        <w:pStyle w:val="NoSpacing"/>
        <w:jc w:val="both"/>
        <w:rPr>
          <w:b/>
          <w:sz w:val="20"/>
          <w:szCs w:val="20"/>
        </w:rPr>
      </w:pPr>
    </w:p>
    <w:p w:rsidR="00977F35" w:rsidRPr="00E836AA" w:rsidRDefault="00977F35" w:rsidP="00977F35">
      <w:pPr>
        <w:pStyle w:val="NoSpacing"/>
        <w:jc w:val="both"/>
        <w:rPr>
          <w:color w:val="FF0000"/>
        </w:rPr>
      </w:pPr>
      <w:r>
        <w:t>T</w:t>
      </w:r>
      <w:r w:rsidRPr="004D6FC4">
        <w:t>he data submitted highlighted some positive patient outcomes as a result of the audit</w:t>
      </w:r>
      <w:r w:rsidRPr="00E836AA">
        <w:rPr>
          <w:color w:val="FF0000"/>
        </w:rPr>
        <w:t>:</w:t>
      </w:r>
    </w:p>
    <w:p w:rsidR="00977F35" w:rsidRPr="004D6FC4" w:rsidRDefault="00977F35" w:rsidP="00977F35">
      <w:pPr>
        <w:pStyle w:val="NoSpacing"/>
        <w:jc w:val="both"/>
        <w:rPr>
          <w:sz w:val="10"/>
        </w:rPr>
      </w:pPr>
    </w:p>
    <w:tbl>
      <w:tblPr>
        <w:tblStyle w:val="LightGrid-Accent1"/>
        <w:tblW w:w="10275" w:type="dxa"/>
        <w:jc w:val="center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5146"/>
        <w:gridCol w:w="5129"/>
      </w:tblGrid>
      <w:tr w:rsidR="00977F35" w:rsidRPr="004D6FC4" w:rsidTr="00CE3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77F35" w:rsidRPr="004D6FC4" w:rsidRDefault="00977F35" w:rsidP="0006301A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4D6FC4">
              <w:rPr>
                <w:rFonts w:asciiTheme="minorHAnsi" w:hAnsiTheme="minorHAnsi" w:cstheme="minorHAnsi"/>
                <w:b w:val="0"/>
                <w:sz w:val="20"/>
              </w:rPr>
              <w:t>“Uses Seretide Accuhaler as a reliever 500mcg TDS. Does not use salbutamol inhaler/ spacer. Advised to reduce Seretide to BD and use salbutamol as a reliever. Advised to use the spacer” (Adult)</w:t>
            </w:r>
          </w:p>
        </w:tc>
        <w:tc>
          <w:tcPr>
            <w:tcW w:w="5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77F35" w:rsidRPr="004D6FC4" w:rsidRDefault="00977F35" w:rsidP="0006301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</w:rPr>
            </w:pPr>
            <w:r w:rsidRPr="004D6FC4">
              <w:rPr>
                <w:rFonts w:asciiTheme="minorHAnsi" w:hAnsiTheme="minorHAnsi" w:cstheme="minorHAnsi"/>
                <w:b w:val="0"/>
                <w:sz w:val="20"/>
              </w:rPr>
              <w:t>“Patient on Seretide 250mg Accuhaler and was taking 2 puffs BD. Changed to Seretide 500mg 1 puff BD” – optimised to avoid above licensed dose of salmeterol (</w:t>
            </w:r>
            <w:r>
              <w:rPr>
                <w:rFonts w:asciiTheme="minorHAnsi" w:hAnsiTheme="minorHAnsi" w:cstheme="minorHAnsi"/>
                <w:b w:val="0"/>
                <w:sz w:val="20"/>
              </w:rPr>
              <w:t>A</w:t>
            </w:r>
            <w:r w:rsidRPr="004D6FC4">
              <w:rPr>
                <w:rFonts w:asciiTheme="minorHAnsi" w:hAnsiTheme="minorHAnsi" w:cstheme="minorHAnsi"/>
                <w:b w:val="0"/>
                <w:sz w:val="20"/>
              </w:rPr>
              <w:t>dult)</w:t>
            </w:r>
          </w:p>
        </w:tc>
      </w:tr>
      <w:tr w:rsidR="00977F35" w:rsidRPr="004D6FC4" w:rsidTr="00CE3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77F35" w:rsidRPr="004D6FC4" w:rsidRDefault="00977F35" w:rsidP="0006301A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4D6FC4">
              <w:rPr>
                <w:rFonts w:asciiTheme="minorHAnsi" w:hAnsiTheme="minorHAnsi" w:cstheme="minorHAnsi"/>
                <w:b w:val="0"/>
                <w:sz w:val="20"/>
              </w:rPr>
              <w:t>Patient prescribed Clenil Modulite 200mcg BD – “During asthma review her technique was corrected and spacer given. No known exacerbations since” (Child age 11)</w:t>
            </w:r>
          </w:p>
        </w:tc>
        <w:tc>
          <w:tcPr>
            <w:tcW w:w="5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77F35" w:rsidRPr="004D6FC4" w:rsidRDefault="00977F35" w:rsidP="0006301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4D6FC4">
              <w:rPr>
                <w:rFonts w:cstheme="minorHAnsi"/>
                <w:sz w:val="20"/>
              </w:rPr>
              <w:t>Patient prescribed Qvar 100mcg 2 puffs BD – “identified patient was using erratically and changed to 1 puff BD regularly rather than 2 puffs BD once worse” (Adult)</w:t>
            </w:r>
          </w:p>
        </w:tc>
      </w:tr>
    </w:tbl>
    <w:p w:rsidR="00977F35" w:rsidRPr="004D6FC4" w:rsidRDefault="00977F35" w:rsidP="00633EDB">
      <w:pPr>
        <w:pStyle w:val="NoSpacing"/>
        <w:jc w:val="both"/>
      </w:pPr>
    </w:p>
    <w:sectPr w:rsidR="00977F35" w:rsidRPr="004D6FC4" w:rsidSect="009D51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64" w:bottom="113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FC5" w:rsidRDefault="005C7FC5" w:rsidP="00633EDB">
      <w:pPr>
        <w:spacing w:after="0" w:line="240" w:lineRule="auto"/>
      </w:pPr>
      <w:r>
        <w:separator/>
      </w:r>
    </w:p>
  </w:endnote>
  <w:endnote w:type="continuationSeparator" w:id="0">
    <w:p w:rsidR="005C7FC5" w:rsidRDefault="005C7FC5" w:rsidP="0063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1D" w:rsidRDefault="007320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5520427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33EDB" w:rsidRPr="00633EDB" w:rsidRDefault="00292AEB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33EDB" w:rsidRPr="00633EDB">
              <w:rPr>
                <w:sz w:val="20"/>
                <w:szCs w:val="20"/>
              </w:rPr>
              <w:t xml:space="preserve">Page </w:t>
            </w:r>
            <w:r w:rsidR="00633EDB" w:rsidRPr="00633EDB">
              <w:rPr>
                <w:b/>
                <w:bCs/>
                <w:sz w:val="20"/>
                <w:szCs w:val="20"/>
              </w:rPr>
              <w:fldChar w:fldCharType="begin"/>
            </w:r>
            <w:r w:rsidR="00633EDB" w:rsidRPr="00633ED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633EDB" w:rsidRPr="00633EDB">
              <w:rPr>
                <w:b/>
                <w:bCs/>
                <w:sz w:val="20"/>
                <w:szCs w:val="20"/>
              </w:rPr>
              <w:fldChar w:fldCharType="separate"/>
            </w:r>
            <w:r w:rsidR="0073201D">
              <w:rPr>
                <w:b/>
                <w:bCs/>
                <w:noProof/>
                <w:sz w:val="20"/>
                <w:szCs w:val="20"/>
              </w:rPr>
              <w:t>1</w:t>
            </w:r>
            <w:r w:rsidR="00633EDB" w:rsidRPr="00633EDB">
              <w:rPr>
                <w:b/>
                <w:bCs/>
                <w:sz w:val="20"/>
                <w:szCs w:val="20"/>
              </w:rPr>
              <w:fldChar w:fldCharType="end"/>
            </w:r>
            <w:r w:rsidR="00633EDB" w:rsidRPr="00633EDB">
              <w:rPr>
                <w:sz w:val="20"/>
                <w:szCs w:val="20"/>
              </w:rPr>
              <w:t xml:space="preserve"> of </w:t>
            </w:r>
            <w:r w:rsidR="00633EDB" w:rsidRPr="00633EDB">
              <w:rPr>
                <w:b/>
                <w:bCs/>
                <w:sz w:val="20"/>
                <w:szCs w:val="20"/>
              </w:rPr>
              <w:fldChar w:fldCharType="begin"/>
            </w:r>
            <w:r w:rsidR="00633EDB" w:rsidRPr="00633ED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633EDB" w:rsidRPr="00633EDB">
              <w:rPr>
                <w:b/>
                <w:bCs/>
                <w:sz w:val="20"/>
                <w:szCs w:val="20"/>
              </w:rPr>
              <w:fldChar w:fldCharType="separate"/>
            </w:r>
            <w:r w:rsidR="0073201D">
              <w:rPr>
                <w:b/>
                <w:bCs/>
                <w:noProof/>
                <w:sz w:val="20"/>
                <w:szCs w:val="20"/>
              </w:rPr>
              <w:t>3</w:t>
            </w:r>
            <w:r w:rsidR="00633EDB" w:rsidRPr="00633EDB">
              <w:rPr>
                <w:b/>
                <w:bCs/>
                <w:sz w:val="20"/>
                <w:szCs w:val="20"/>
              </w:rPr>
              <w:fldChar w:fldCharType="end"/>
            </w:r>
            <w:r w:rsidR="0073201D">
              <w:rPr>
                <w:b/>
                <w:bCs/>
                <w:sz w:val="20"/>
                <w:szCs w:val="20"/>
              </w:rPr>
              <w:tab/>
            </w:r>
            <w:r w:rsidR="0073201D">
              <w:rPr>
                <w:b/>
                <w:bCs/>
                <w:sz w:val="20"/>
                <w:szCs w:val="20"/>
              </w:rPr>
              <w:tab/>
              <w:t xml:space="preserve">final (April </w:t>
            </w:r>
            <w:r w:rsidR="0073201D">
              <w:rPr>
                <w:b/>
                <w:bCs/>
                <w:sz w:val="20"/>
                <w:szCs w:val="20"/>
              </w:rPr>
              <w:t>2016)</w:t>
            </w:r>
          </w:p>
          <w:bookmarkStart w:id="0" w:name="_GoBack" w:displacedByCustomXml="next"/>
          <w:bookmarkEnd w:id="0" w:displacedByCustomXml="next"/>
        </w:sdtContent>
      </w:sdt>
    </w:sdtContent>
  </w:sdt>
  <w:p w:rsidR="00633EDB" w:rsidRDefault="00633E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1D" w:rsidRDefault="007320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FC5" w:rsidRDefault="005C7FC5" w:rsidP="00633EDB">
      <w:pPr>
        <w:spacing w:after="0" w:line="240" w:lineRule="auto"/>
      </w:pPr>
      <w:r>
        <w:separator/>
      </w:r>
    </w:p>
  </w:footnote>
  <w:footnote w:type="continuationSeparator" w:id="0">
    <w:p w:rsidR="005C7FC5" w:rsidRDefault="005C7FC5" w:rsidP="0063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1D" w:rsidRDefault="007320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1D" w:rsidRDefault="007320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1D" w:rsidRDefault="007320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2A3"/>
    <w:multiLevelType w:val="hybridMultilevel"/>
    <w:tmpl w:val="0B0E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5499B"/>
    <w:multiLevelType w:val="hybridMultilevel"/>
    <w:tmpl w:val="E32A4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12877"/>
    <w:multiLevelType w:val="hybridMultilevel"/>
    <w:tmpl w:val="48E60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C2B4E"/>
    <w:multiLevelType w:val="hybridMultilevel"/>
    <w:tmpl w:val="558A0EC6"/>
    <w:lvl w:ilvl="0" w:tplc="42B8F09C">
      <w:start w:val="26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B4056"/>
    <w:multiLevelType w:val="hybridMultilevel"/>
    <w:tmpl w:val="53543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025C6"/>
    <w:multiLevelType w:val="hybridMultilevel"/>
    <w:tmpl w:val="30522CD0"/>
    <w:lvl w:ilvl="0" w:tplc="42B8F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777CB"/>
    <w:multiLevelType w:val="hybridMultilevel"/>
    <w:tmpl w:val="15A6F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D5020"/>
    <w:multiLevelType w:val="hybridMultilevel"/>
    <w:tmpl w:val="34DADAC2"/>
    <w:lvl w:ilvl="0" w:tplc="42B8F09C">
      <w:start w:val="26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60332"/>
    <w:multiLevelType w:val="hybridMultilevel"/>
    <w:tmpl w:val="901E696C"/>
    <w:lvl w:ilvl="0" w:tplc="42B8F09C">
      <w:start w:val="26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E1"/>
    <w:rsid w:val="00000CE3"/>
    <w:rsid w:val="00041802"/>
    <w:rsid w:val="00045444"/>
    <w:rsid w:val="000F7A84"/>
    <w:rsid w:val="00106E30"/>
    <w:rsid w:val="00146993"/>
    <w:rsid w:val="00162AFF"/>
    <w:rsid w:val="001B7F5E"/>
    <w:rsid w:val="001C3B9E"/>
    <w:rsid w:val="001D14F4"/>
    <w:rsid w:val="001E1723"/>
    <w:rsid w:val="00215F4C"/>
    <w:rsid w:val="00231A7D"/>
    <w:rsid w:val="00245AF7"/>
    <w:rsid w:val="00292AEB"/>
    <w:rsid w:val="002F571E"/>
    <w:rsid w:val="00322B54"/>
    <w:rsid w:val="003328A5"/>
    <w:rsid w:val="00384E54"/>
    <w:rsid w:val="00386795"/>
    <w:rsid w:val="0044239F"/>
    <w:rsid w:val="00453411"/>
    <w:rsid w:val="00480D61"/>
    <w:rsid w:val="004C5642"/>
    <w:rsid w:val="004D6FC4"/>
    <w:rsid w:val="004E7131"/>
    <w:rsid w:val="00592AE1"/>
    <w:rsid w:val="00597006"/>
    <w:rsid w:val="005A11AC"/>
    <w:rsid w:val="005C7FC5"/>
    <w:rsid w:val="005F2F5A"/>
    <w:rsid w:val="005F50AA"/>
    <w:rsid w:val="00633EDB"/>
    <w:rsid w:val="006B5A6D"/>
    <w:rsid w:val="0073201D"/>
    <w:rsid w:val="00760837"/>
    <w:rsid w:val="00790B10"/>
    <w:rsid w:val="007E0DC6"/>
    <w:rsid w:val="007E7FD8"/>
    <w:rsid w:val="00825C3D"/>
    <w:rsid w:val="008762C5"/>
    <w:rsid w:val="0088712C"/>
    <w:rsid w:val="00942B66"/>
    <w:rsid w:val="0097319B"/>
    <w:rsid w:val="00977F35"/>
    <w:rsid w:val="009D51BA"/>
    <w:rsid w:val="00A60BA2"/>
    <w:rsid w:val="00AB2CBC"/>
    <w:rsid w:val="00AC4CB9"/>
    <w:rsid w:val="00AD7321"/>
    <w:rsid w:val="00B07B21"/>
    <w:rsid w:val="00B5439B"/>
    <w:rsid w:val="00B549F6"/>
    <w:rsid w:val="00B57ADD"/>
    <w:rsid w:val="00B83B41"/>
    <w:rsid w:val="00BD66C9"/>
    <w:rsid w:val="00C86EBE"/>
    <w:rsid w:val="00CB56B1"/>
    <w:rsid w:val="00CB7CC5"/>
    <w:rsid w:val="00CE3C91"/>
    <w:rsid w:val="00D4018D"/>
    <w:rsid w:val="00D44273"/>
    <w:rsid w:val="00D8141B"/>
    <w:rsid w:val="00D818FF"/>
    <w:rsid w:val="00D93DB3"/>
    <w:rsid w:val="00DB0B6C"/>
    <w:rsid w:val="00E50494"/>
    <w:rsid w:val="00E827AD"/>
    <w:rsid w:val="00E836AA"/>
    <w:rsid w:val="00E91091"/>
    <w:rsid w:val="00E937AB"/>
    <w:rsid w:val="00ED4A10"/>
    <w:rsid w:val="00F30B90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A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07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33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EDB"/>
  </w:style>
  <w:style w:type="paragraph" w:styleId="Footer">
    <w:name w:val="footer"/>
    <w:basedOn w:val="Normal"/>
    <w:link w:val="FooterChar"/>
    <w:uiPriority w:val="99"/>
    <w:unhideWhenUsed/>
    <w:rsid w:val="00633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EDB"/>
  </w:style>
  <w:style w:type="table" w:styleId="TableGrid">
    <w:name w:val="Table Grid"/>
    <w:basedOn w:val="TableNormal"/>
    <w:uiPriority w:val="59"/>
    <w:rsid w:val="006B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6B5A6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6B5A6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15F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A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07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33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EDB"/>
  </w:style>
  <w:style w:type="paragraph" w:styleId="Footer">
    <w:name w:val="footer"/>
    <w:basedOn w:val="Normal"/>
    <w:link w:val="FooterChar"/>
    <w:uiPriority w:val="99"/>
    <w:unhideWhenUsed/>
    <w:rsid w:val="00633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EDB"/>
  </w:style>
  <w:style w:type="table" w:styleId="TableGrid">
    <w:name w:val="Table Grid"/>
    <w:basedOn w:val="TableNormal"/>
    <w:uiPriority w:val="59"/>
    <w:rsid w:val="006B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6B5A6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6B5A6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15F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London</Company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MacGregor</dc:creator>
  <cp:lastModifiedBy>Haastrup Margaret (Borough-Croydon)</cp:lastModifiedBy>
  <cp:revision>11</cp:revision>
  <cp:lastPrinted>2016-04-15T13:22:00Z</cp:lastPrinted>
  <dcterms:created xsi:type="dcterms:W3CDTF">2016-04-15T14:30:00Z</dcterms:created>
  <dcterms:modified xsi:type="dcterms:W3CDTF">2016-04-15T14:53:00Z</dcterms:modified>
</cp:coreProperties>
</file>